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0.jpg" ContentType="image/jpeg"/>
  <Override PartName="/word/media/rId84.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Because the measurements of my three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egg perimeter in the first brood:</w:t>
      </w:r>
      <w:r>
        <w:t xml:space="preserve"> </w:t>
      </w:r>
      <w:r>
        <w:rPr>
          <w:i/>
          <w:iCs/>
        </w:rPr>
        <w:t xml:space="preserve">R</w:t>
      </w:r>
      <w:r>
        <w:t xml:space="preserve"> </w:t>
      </w:r>
      <w:r>
        <w:t xml:space="preserve">[95% CI] = 0.977 [0.976, 0.979] and in the second brood:</w:t>
      </w:r>
      <w:r>
        <w:t xml:space="preserve"> </w:t>
      </w:r>
      <w:r>
        <w:rPr>
          <w:i/>
          <w:iCs/>
        </w:rPr>
        <w:t xml:space="preserve">R</w:t>
      </w:r>
      <w:r>
        <w:t xml:space="preserve"> </w:t>
      </w:r>
      <w:r>
        <w:t xml:space="preserve">[95% CI] = 0.93 [0.926, 0.937] ), I used each female’s mean value for each trait in all subsequent analyses.</w:t>
      </w:r>
    </w:p>
    <w:p>
      <w:pPr>
        <w:pStyle w:val="BodyText"/>
      </w:pPr>
      <w:r>
        <w:t xml:space="preserve">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stats package in R</w:t>
      </w:r>
      <w:r>
        <w:t xml:space="preserve"> </w:t>
      </w:r>
      <w:r>
        <w:t xml:space="preserve">(R Core Team 2025)</w:t>
      </w:r>
      <w:r>
        <w:t xml:space="preserve">. The first PC accounted for 60.8% of the variation. I also standardised female body mass relative to body size using the scaled mass index procedure of Peig and Green</w:t>
      </w:r>
      <w:r>
        <w:t xml:space="preserve"> </w:t>
      </w:r>
      <w:r>
        <w:t xml:space="preserve">(2009, 2010; see also Kelly et al. 2014)</w:t>
      </w:r>
      <w:r>
        <w:t xml:space="preserve">.</w:t>
      </w:r>
    </w:p>
    <w:p>
      <w:pPr>
        <w:pStyle w:val="BodyText"/>
      </w:pPr>
      <w:r>
        <w:t xml:space="preserve">I tested the prediction that egg number and egg size trade off within females using a Bayesian multivariate linear mixed-effects model (</w:t>
      </w:r>
      <w:r>
        <w:rPr>
          <w:i/>
          <w:iCs/>
        </w:rPr>
        <w:t xml:space="preserve">brms</w:t>
      </w:r>
      <w:r>
        <w:t xml:space="preserve"> </w:t>
      </w:r>
      <w:r>
        <w:t xml:space="preserve">package,</w:t>
      </w:r>
      <w:r>
        <w:t xml:space="preserve"> </w:t>
      </w:r>
      <w:r>
        <w:t xml:space="preserve">Bürkner (2017)</w:t>
      </w:r>
      <w:r>
        <w:t xml:space="preserve">). Egg number and egg perimeter were entered as scaled response variables, and</w:t>
      </w:r>
      <w:r>
        <w:t xml:space="preserve"> </w:t>
      </w:r>
      <w:r>
        <w:rPr>
          <w:i/>
          <w:iCs/>
        </w:rPr>
        <w:t xml:space="preserve">res_cor</w:t>
      </w:r>
      <w:r>
        <w:t xml:space="preserve"> </w:t>
      </w:r>
      <w:r>
        <w:t xml:space="preserve">was set to TRUE to estimate the within-individual (residual) correlation (</w:t>
      </w:r>
      <w:r>
        <w:rPr>
          <w:i/>
          <w:iCs/>
        </w:rPr>
        <w:t xml:space="preserve">r</w:t>
      </w:r>
      <w:r>
        <w:rPr>
          <w:vertAlign w:val="subscript"/>
        </w:rPr>
        <w:t xml:space="preserve">within</w:t>
      </w:r>
      <w:r>
        <w:t xml:space="preserve">)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scaled mass as a continuous covariate because body size generally correlates with fecundity in insects</w:t>
      </w:r>
      <w:r>
        <w:t xml:space="preserve"> </w:t>
      </w:r>
      <w:r>
        <w:t xml:space="preserve">(Honek 1993)</w:t>
      </w:r>
      <w:r>
        <w:t xml:space="preserve">. Female ID was included as a random effect via the term (1|a|id), ensuring that random effects were correlated within each female. I assessed which of the four measures of female body size (pronotum length, body mass, PC1, or scaled mass) provided the greatest explanatory power by running three models, each with a different measure, and then comparing them, in addition to a null model without a size measure, using leave-one-out cross-validation (LOO)</w:t>
      </w:r>
      <w:r>
        <w:t xml:space="preserve"> </w:t>
      </w:r>
      <w:r>
        <w:t xml:space="preserve">(Vehtari et al. 2017)</w:t>
      </w:r>
      <w:r>
        <w:t xml:space="preserve">. Pronotum length, body mass, and scaled mass were scaled (mean = 0, sd = 1) before analysis. The model that included pronotum length as a continuous covariate provided the best fit (Expected Log Predictive Density (ELPD) = 8.71). I report the phenotypic (</w:t>
      </w:r>
      <w:r>
        <w:rPr>
          <w:i/>
          <w:iCs/>
        </w:rPr>
        <w:t xml:space="preserve">r</w:t>
      </w:r>
      <w:r>
        <w:rPr>
          <w:vertAlign w:val="subscript"/>
        </w:rPr>
        <w:t xml:space="preserve">p</w:t>
      </w:r>
      <w:r>
        <w:t xml:space="preserve">), among- (</w:t>
      </w:r>
      <w:r>
        <w:rPr>
          <w:i/>
          <w:iCs/>
        </w:rPr>
        <w:t xml:space="preserve">r</w:t>
      </w:r>
      <w:r>
        <w:rPr>
          <w:vertAlign w:val="subscript"/>
        </w:rPr>
        <w:t xml:space="preserve">among</w:t>
      </w:r>
      <w:r>
        <w:t xml:space="preserve">) and within- (residual,</w:t>
      </w:r>
      <w:r>
        <w:t xml:space="preserve"> </w:t>
      </w:r>
      <w:r>
        <w:rPr>
          <w:i/>
          <w:iCs/>
        </w:rPr>
        <w:t xml:space="preserve">r</w:t>
      </w:r>
      <w:r>
        <w:rPr>
          <w:vertAlign w:val="subscript"/>
        </w:rPr>
        <w:t xml:space="preserve">within</w:t>
      </w:r>
      <w:r>
        <w:t xml:space="preserve">) female correlations and associated 95% credible intervals (CrIs) from the model. I also used the among- and within-individuals levels of variation for egg size and egg number from the multivariate model to calculate each trait’s repeatability (</w:t>
      </w:r>
      <w:r>
        <w:rPr>
          <w:i/>
          <w:iCs/>
        </w:rPr>
        <w:t xml:space="preserve">R</w:t>
      </w:r>
      <w:r>
        <w:t xml:space="preserve">).</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w:t>
      </w:r>
    </w:p>
    <w:p>
      <w:pPr>
        <w:pStyle w:val="BodyText"/>
      </w:pPr>
      <w:r>
        <w:t xml:space="preserve">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w:t>
      </w:r>
      <m:oMath>
        <m:acc>
          <m:accPr>
            <m:chr m:val="̂"/>
          </m:accPr>
          <m:e>
            <m:r>
              <m:t>R</m:t>
            </m:r>
          </m:e>
        </m:acc>
      </m:oMath>
      <w:r>
        <w:t xml:space="preserve"> </w:t>
      </w:r>
      <w:r>
        <w:t xml:space="preserve">= 1.00). I report posterior means with 95% credible intervals (CrIs) for all parameter estimates, where inference was based on CrIs that did not include zero.</w:t>
      </w:r>
    </w:p>
    <w:bookmarkEnd w:id="23"/>
    <w:bookmarkEnd w:id="24"/>
    <w:bookmarkStart w:id="25" w:name="results"/>
    <w:p>
      <w:pPr>
        <w:pStyle w:val="Heading1"/>
      </w:pPr>
      <w:r>
        <w:t xml:space="preserve">Results</w:t>
      </w:r>
    </w:p>
    <w:bookmarkEnd w:id="25"/>
    <w:bookmarkStart w:id="26" w:name="brood-order"/>
    <w:p>
      <w:pPr>
        <w:pStyle w:val="Heading1"/>
      </w:pPr>
      <w:r>
        <w:t xml:space="preserve">Brood order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26"/>
    <w:bookmarkStart w:id="27" w:name="correlations"/>
    <w:p>
      <w:pPr>
        <w:pStyle w:val="Heading1"/>
      </w:pPr>
      <w:r>
        <w:t xml:space="preserve">Correlations</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Thus, ignoring hierarchical structure, there was no clear phenotypic association between the two traits.</w:t>
      </w:r>
    </w:p>
    <w:p>
      <w:pPr>
        <w:pStyle w:val="BodyText"/>
      </w:pPr>
      <w:r>
        <w:t xml:space="preserve">When calculated using female means, the between-female Pearson correlation was moderate and negative (</w:t>
      </w:r>
      <m:oMath>
        <m:sSub>
          <m:e>
            <m:r>
              <m:t>r</m:t>
            </m:r>
          </m:e>
          <m:sub>
            <m:r>
              <m:t>b</m:t>
            </m:r>
            <m:r>
              <m:t>e</m:t>
            </m:r>
            <m:r>
              <m:t>t</m:t>
            </m:r>
            <m:r>
              <m:t>w</m:t>
            </m:r>
            <m:r>
              <m:t>e</m:t>
            </m:r>
            <m:r>
              <m:t>e</m:t>
            </m:r>
            <m:r>
              <m:t>n</m:t>
            </m:r>
          </m:sub>
        </m:sSub>
      </m:oMath>
      <w:r>
        <w:t xml:space="preserve"> </w:t>
      </w:r>
      <w:r>
        <w:t xml:space="preserve">= -0.31, 95% CI [-0.55, -0.02]). Females that produced more eggs on average tended to lay smaller eggs.</w:t>
      </w:r>
    </w:p>
    <w:p>
      <w:pPr>
        <w:pStyle w:val="BodyText"/>
      </w:pPr>
      <w:r>
        <w:t xml:space="preserve">The multivariate Gaussian model partitioned covariation into among-female and residual components. After accounting for female identity, the residual correlation between egg number and egg size was effectively zero and highly uncertain (</w:t>
      </w:r>
      <m:oMath>
        <m:sSub>
          <m:e>
            <m:r>
              <m:t>r</m:t>
            </m:r>
          </m:e>
          <m:sub>
            <m:r>
              <m:t>w</m:t>
            </m:r>
            <m:r>
              <m:t>i</m:t>
            </m:r>
            <m:r>
              <m:t>t</m:t>
            </m:r>
            <m:r>
              <m:t>h</m:t>
            </m:r>
            <m:r>
              <m:t>i</m:t>
            </m:r>
            <m:r>
              <m:t>n</m:t>
            </m:r>
          </m:sub>
        </m:sSub>
      </m:oMath>
      <w:r>
        <w:t xml:space="preserve"> </w:t>
      </w:r>
      <w:r>
        <w:t xml:space="preserve">= 0.0025, 95% CI [-0.86, 0.85]).</w:t>
      </w:r>
    </w:p>
    <w:p>
      <w:pPr>
        <w:pStyle w:val="BodyText"/>
      </w:pPr>
      <w:r>
        <w:t xml:space="preserve">This indicates no evidence for consistent brood-level covariation beyond hierarchical structure.</w:t>
      </w:r>
    </w:p>
    <w:bookmarkEnd w:id="27"/>
    <w:bookmarkStart w:id="28" w:name="discussion"/>
    <w:p>
      <w:pPr>
        <w:pStyle w:val="Heading1"/>
      </w:pPr>
      <w:r>
        <w:t xml:space="preserve">Discussion</w:t>
      </w:r>
    </w:p>
    <w:p>
      <w:pPr>
        <w:pStyle w:val="FirstParagraph"/>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28"/>
    <w:bookmarkStart w:id="29" w:name="data-availability"/>
    <w:p>
      <w:pPr>
        <w:pStyle w:val="Heading1"/>
      </w:pPr>
      <w:r>
        <w:t xml:space="preserve">Data availability</w:t>
      </w:r>
    </w:p>
    <w:p>
      <w:pPr>
        <w:pStyle w:val="FirstParagraph"/>
      </w:pPr>
      <w:r>
        <w:t xml:space="preserve">Data are available through the OSF repository at 10.17605/OSF.IO/KWCS8.</w:t>
      </w:r>
    </w:p>
    <w:bookmarkEnd w:id="29"/>
    <w:bookmarkStart w:id="30" w:name="author-contributions"/>
    <w:p>
      <w:pPr>
        <w:pStyle w:val="Heading1"/>
      </w:pPr>
      <w:r>
        <w:t xml:space="preserve">Author contributions</w:t>
      </w:r>
    </w:p>
    <w:p>
      <w:pPr>
        <w:pStyle w:val="FirstParagraph"/>
      </w:pPr>
      <w:r>
        <w:t xml:space="preserve">CDK collected and analyzed the data, and wrote the manuscript.</w:t>
      </w:r>
    </w:p>
    <w:bookmarkEnd w:id="30"/>
    <w:bookmarkStart w:id="31"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1"/>
    <w:bookmarkStart w:id="32" w:name="conflict-of-interest"/>
    <w:p>
      <w:pPr>
        <w:pStyle w:val="Heading1"/>
      </w:pPr>
      <w:r>
        <w:t xml:space="preserve">Conflict of Interest</w:t>
      </w:r>
    </w:p>
    <w:p>
      <w:pPr>
        <w:pStyle w:val="FirstParagraph"/>
      </w:pPr>
      <w:r>
        <w:t xml:space="preserve">I declare no conflict of interest.</w:t>
      </w:r>
    </w:p>
    <w:bookmarkEnd w:id="32"/>
    <w:bookmarkStart w:id="33"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3"/>
    <w:bookmarkStart w:id="88" w:name="references"/>
    <w:p>
      <w:pPr>
        <w:pStyle w:val="Heading1"/>
      </w:pPr>
      <w:r>
        <w:t xml:space="preserve">References</w:t>
      </w:r>
    </w:p>
    <w:bookmarkStart w:id="79" w:name="refs"/>
    <w:bookmarkStart w:id="34" w:name="ref-bernardo1996"/>
    <w:p>
      <w:pPr>
        <w:pStyle w:val="Bibliography"/>
      </w:pPr>
      <w:r>
        <w:t xml:space="preserve">Bernardo, J. 1996. The particular maternal effect of propagule size, especially egg size: Patterns, models, quality of evidence and interpretations. Am Zool 36:216–236.</w:t>
      </w:r>
    </w:p>
    <w:bookmarkEnd w:id="34"/>
    <w:bookmarkStart w:id="35" w:name="ref-boos2014"/>
    <w:p>
      <w:pPr>
        <w:pStyle w:val="Bibliography"/>
      </w:pPr>
      <w:r>
        <w:t xml:space="preserve">Boos, S., J. Meunier, S. Pichon, and M. Kölliker. 2014. Maternal care provides antifungal protection to eggs in the european earwig. Behav Ecol 25:754–761.</w:t>
      </w:r>
    </w:p>
    <w:bookmarkEnd w:id="35"/>
    <w:bookmarkStart w:id="36"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6"/>
    <w:bookmarkStart w:id="37" w:name="ref-careau2017"/>
    <w:p>
      <w:pPr>
        <w:pStyle w:val="Bibliography"/>
      </w:pPr>
      <w:r>
        <w:t xml:space="preserve">Careau, V., and R. Wilson. 2017. Of uberfleas and krakens: Detecting trade-offs using mixed models. Integr Comp Biol 57:362–371.</w:t>
      </w:r>
    </w:p>
    <w:bookmarkEnd w:id="37"/>
    <w:bookmarkStart w:id="38" w:name="ref-cavaleiro2014"/>
    <w:p>
      <w:pPr>
        <w:pStyle w:val="Bibliography"/>
      </w:pPr>
      <w:r>
        <w:t xml:space="preserve">Cavaleiro, F. I., and M. J. Santos. 2014. Egg number-egg size: An important trade-off in parasite life history strategies. Int J Parasitol 44:173–182.</w:t>
      </w:r>
    </w:p>
    <w:bookmarkEnd w:id="38"/>
    <w:bookmarkStart w:id="39" w:name="ref-church2019"/>
    <w:p>
      <w:pPr>
        <w:pStyle w:val="Bibliography"/>
      </w:pPr>
      <w:r>
        <w:t xml:space="preserve">Church, S. H., S. Donoughe, B. A. S. de Medeiros, and C. G. Extavour. 2019. Insect egg size and shape evolve with ecology but not developmental rate. Nature 571:58–62.</w:t>
      </w:r>
    </w:p>
    <w:bookmarkEnd w:id="39"/>
    <w:bookmarkStart w:id="40" w:name="ref-clutton-brock1984"/>
    <w:p>
      <w:pPr>
        <w:pStyle w:val="Bibliography"/>
      </w:pPr>
      <w:r>
        <w:t xml:space="preserve">Clutton-Brock, T. H. 1984. Reproductive effort and terminal investment in iteroparous animals. Am Nat 123:212–229.</w:t>
      </w:r>
    </w:p>
    <w:bookmarkEnd w:id="40"/>
    <w:bookmarkStart w:id="41" w:name="ref-clutton-brock1991"/>
    <w:p>
      <w:pPr>
        <w:pStyle w:val="Bibliography"/>
      </w:pPr>
      <w:r>
        <w:t xml:space="preserve">Clutton-Brock, T. H. 1991.</w:t>
      </w:r>
      <w:r>
        <w:t xml:space="preserve"> </w:t>
      </w:r>
      <w:r>
        <w:t xml:space="preserve">The Evolution of Parental Care</w:t>
      </w:r>
      <w:r>
        <w:t xml:space="preserve">. Princeton University Press.</w:t>
      </w:r>
    </w:p>
    <w:bookmarkEnd w:id="41"/>
    <w:bookmarkStart w:id="42" w:name="ref-einum2000"/>
    <w:p>
      <w:pPr>
        <w:pStyle w:val="Bibliography"/>
      </w:pPr>
      <w:r>
        <w:t xml:space="preserve">Einum, S., and I. A. Fleming. 2000. Highly fecund mothers sacrifice offspring survival to maximize fitness. Nature 405:565–567.</w:t>
      </w:r>
    </w:p>
    <w:bookmarkEnd w:id="42"/>
    <w:bookmarkStart w:id="43"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43"/>
    <w:bookmarkStart w:id="44" w:name="ref-ficetola2009"/>
    <w:p>
      <w:pPr>
        <w:pStyle w:val="Bibliography"/>
      </w:pPr>
      <w:r>
        <w:t xml:space="preserve">Ficetola, G. F., and F. De Bernardi. 2009. Offspring size and survival in the frog rana latastei: From among-population to within-clutch variation. Biol J Linn Soc 97:845–853.</w:t>
      </w:r>
    </w:p>
    <w:bookmarkEnd w:id="44"/>
    <w:bookmarkStart w:id="45" w:name="ref-fox2000"/>
    <w:p>
      <w:pPr>
        <w:pStyle w:val="Bibliography"/>
      </w:pPr>
      <w:r>
        <w:t xml:space="preserve">Fox, C. W., and M. E. Czesak. 2000. Evolutionary ecology of progeny size in arthropods. Annu Rev Entomol 45:341–369.</w:t>
      </w:r>
    </w:p>
    <w:bookmarkEnd w:id="45"/>
    <w:bookmarkStart w:id="46"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6"/>
    <w:bookmarkStart w:id="47" w:name="ref-harvey1983"/>
    <w:p>
      <w:pPr>
        <w:pStyle w:val="Bibliography"/>
      </w:pPr>
      <w:r>
        <w:t xml:space="preserve">Harvey, G. T. 1983. Environmental and genetic effects on mean egg weight in spruce budworm (lepidoptera: tortricidae). The Canadian Entomologist 115:1109–1117.</w:t>
      </w:r>
    </w:p>
    <w:bookmarkEnd w:id="47"/>
    <w:bookmarkStart w:id="48" w:name="ref-honek1993"/>
    <w:p>
      <w:pPr>
        <w:pStyle w:val="Bibliography"/>
      </w:pPr>
      <w:r>
        <w:t xml:space="preserve">Honek, A. 1993. Intraspecific variation in body size and fecundity in insects: A general relationship. Oikos 483–492.</w:t>
      </w:r>
    </w:p>
    <w:bookmarkEnd w:id="48"/>
    <w:bookmarkStart w:id="49" w:name="ref-kelly2014"/>
    <w:p>
      <w:pPr>
        <w:pStyle w:val="Bibliography"/>
      </w:pPr>
      <w:r>
        <w:t xml:space="preserve">Kelly, C. D., B. Tawes, and A. Worthington. 2014. Evaluating indices of body condition in two cricket species. Ecology and Evolution 4:4476–4487.</w:t>
      </w:r>
    </w:p>
    <w:bookmarkEnd w:id="49"/>
    <w:bookmarkStart w:id="50" w:name="ref-koch2014"/>
    <w:p>
      <w:pPr>
        <w:pStyle w:val="Bibliography"/>
      </w:pPr>
      <w:r>
        <w:t xml:space="preserve">Koch, L. K., and J. Meunier. 2014. Mother and offspring fitness in an insect with maternal care: Phenotypic trade-offs between egg number, egg mass and egg care. BMC Evol Biol 14:125.</w:t>
      </w:r>
    </w:p>
    <w:bookmarkEnd w:id="50"/>
    <w:bookmarkStart w:id="51" w:name="ref-kolliker2007"/>
    <w:p>
      <w:pPr>
        <w:pStyle w:val="Bibliography"/>
      </w:pPr>
      <w:r>
        <w:t xml:space="preserve">Kölliker, M. 2007. Benefits and costs of earwig (forficula auricularia) family life. Behav Ecol Sociobiol 61:1489–1497.</w:t>
      </w:r>
    </w:p>
    <w:bookmarkEnd w:id="51"/>
    <w:bookmarkStart w:id="52" w:name="ref-meunier2024"/>
    <w:p>
      <w:pPr>
        <w:pStyle w:val="Bibliography"/>
      </w:pPr>
      <w:r>
        <w:t xml:space="preserve">Meunier, J. 2024. The biology and social life of earwigs (dermaptera). Annu Rev Entomol 69:259–276.</w:t>
      </w:r>
    </w:p>
    <w:bookmarkEnd w:id="52"/>
    <w:bookmarkStart w:id="53"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53"/>
    <w:bookmarkStart w:id="54" w:name="ref-nilsson1993"/>
    <w:p>
      <w:pPr>
        <w:pStyle w:val="Bibliography"/>
      </w:pPr>
      <w:r>
        <w:t xml:space="preserve">Nilsson, J. ‐Å., and E. Svensson. 1993. Causes and consequences of egg mass variation between and within blue tit clutches. J Zool 230:469–481.</w:t>
      </w:r>
    </w:p>
    <w:bookmarkEnd w:id="54"/>
    <w:bookmarkStart w:id="55" w:name="ref-parker1982"/>
    <w:p>
      <w:pPr>
        <w:pStyle w:val="Bibliography"/>
      </w:pPr>
      <w:r>
        <w:t xml:space="preserve">Parker, G. A. 1982. Why are there so many tiny sperm? Sperm competition and the maintenance of two sexes. J Theor Biol 96:281–294.</w:t>
      </w:r>
    </w:p>
    <w:bookmarkEnd w:id="55"/>
    <w:bookmarkStart w:id="56" w:name="ref-peig2009"/>
    <w:p>
      <w:pPr>
        <w:pStyle w:val="Bibliography"/>
      </w:pPr>
      <w:r>
        <w:t xml:space="preserve">Peig, J., and A. J. Green. 2009. New perspectives for estimating body condition from mass/length data: The scaled mass index as an alternative method. Oikos 118:1883–1891.</w:t>
      </w:r>
    </w:p>
    <w:bookmarkEnd w:id="56"/>
    <w:bookmarkStart w:id="57" w:name="ref-peig2010"/>
    <w:p>
      <w:pPr>
        <w:pStyle w:val="Bibliography"/>
      </w:pPr>
      <w:r>
        <w:t xml:space="preserve">Peig, J., and A. J. Green. 2010. The paradigm of body condition: A critical reappraisal of current methods based on mass and length. Funct Ecol 24:1323–1332.</w:t>
      </w:r>
    </w:p>
    <w:bookmarkEnd w:id="57"/>
    <w:bookmarkStart w:id="58"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8"/>
    <w:bookmarkStart w:id="59" w:name="ref-reznick2000"/>
    <w:p>
      <w:pPr>
        <w:pStyle w:val="Bibliography"/>
      </w:pPr>
      <w:r>
        <w:t xml:space="preserve">Reznick, D., L. Nunney, and A. Tessier. 2000. Big houses, big cars, superfleas and the costs of reproduction. Trends Ecol Evol 15:421–425.</w:t>
      </w:r>
    </w:p>
    <w:bookmarkEnd w:id="59"/>
    <w:bookmarkStart w:id="60"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0"/>
    <w:bookmarkStart w:id="61"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1"/>
    <w:bookmarkStart w:id="62"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62"/>
    <w:bookmarkStart w:id="63"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63"/>
    <w:bookmarkStart w:id="64" w:name="ref-simpson1951"/>
    <w:p>
      <w:pPr>
        <w:pStyle w:val="Bibliography"/>
      </w:pPr>
      <w:r>
        <w:t xml:space="preserve">Simpson, E. H. 1951. The interpretation of interaction in contingency tables. Journal of the Royal Statistical Society: Series B (Methodological) 13:238–241.</w:t>
      </w:r>
    </w:p>
    <w:bookmarkEnd w:id="64"/>
    <w:bookmarkStart w:id="65" w:name="ref-slagsvold1984"/>
    <w:p>
      <w:pPr>
        <w:pStyle w:val="Bibliography"/>
      </w:pPr>
      <w:r>
        <w:t xml:space="preserve">Slagsvold, T., J. Sandvik, G. Rofstad, Ö. Lorentsen, and M. Husby. 1984. On the adaptive value of intraclutch egg-size variation in birds. The Auk 101:685–697.</w:t>
      </w:r>
    </w:p>
    <w:bookmarkEnd w:id="65"/>
    <w:bookmarkStart w:id="66" w:name="ref-smith1974"/>
    <w:p>
      <w:pPr>
        <w:pStyle w:val="Bibliography"/>
      </w:pPr>
      <w:r>
        <w:t xml:space="preserve">Smith, C. C., and S. D. Fretwell. 1974. The optimal balance between size and number of offspring. Am Nat 108:499–506.</w:t>
      </w:r>
    </w:p>
    <w:bookmarkEnd w:id="66"/>
    <w:bookmarkStart w:id="67"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7"/>
    <w:bookmarkStart w:id="68" w:name="ref-stearns1992"/>
    <w:p>
      <w:pPr>
        <w:pStyle w:val="Bibliography"/>
      </w:pPr>
      <w:r>
        <w:t xml:space="preserve">Stearns, S. C. 1992.</w:t>
      </w:r>
      <w:r>
        <w:t xml:space="preserve"> </w:t>
      </w:r>
      <w:r>
        <w:t xml:space="preserve">The Evolution of Life Histories</w:t>
      </w:r>
      <w:r>
        <w:t xml:space="preserve">. Oxford University Press.</w:t>
      </w:r>
    </w:p>
    <w:bookmarkEnd w:id="68"/>
    <w:bookmarkStart w:id="69"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69"/>
    <w:bookmarkStart w:id="70"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70"/>
    <w:bookmarkStart w:id="71"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1"/>
    <w:bookmarkStart w:id="72"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72"/>
    <w:bookmarkStart w:id="73" w:name="ref-vannoordwijk1986"/>
    <w:p>
      <w:pPr>
        <w:pStyle w:val="Bibliography"/>
      </w:pPr>
      <w:r>
        <w:t xml:space="preserve">Van Noordwijk, A. J., and G. de Jong. 1986. Acquisition and allocation of resources: Their influence on variation in life history tactics. Am Nat 128:137–142.</w:t>
      </w:r>
    </w:p>
    <w:bookmarkEnd w:id="73"/>
    <w:bookmarkStart w:id="74" w:name="ref-vehtari2017"/>
    <w:p>
      <w:pPr>
        <w:pStyle w:val="Bibliography"/>
      </w:pPr>
      <w:r>
        <w:t xml:space="preserve">Vehtari, A., A. Gelman, and J. Gabry. 2017. Practical</w:t>
      </w:r>
      <w:r>
        <w:t xml:space="preserve"> </w:t>
      </w:r>
      <w:r>
        <w:t xml:space="preserve">B</w:t>
      </w:r>
      <w:r>
        <w:t xml:space="preserve">ayesian model evaluation using leave-one-out cross-validation and</w:t>
      </w:r>
      <w:r>
        <w:t xml:space="preserve"> </w:t>
      </w:r>
      <w:r>
        <w:t xml:space="preserve">WAIC</w:t>
      </w:r>
      <w:r>
        <w:t xml:space="preserve">. Statistics and Computing 27:1413–1432.</w:t>
      </w:r>
    </w:p>
    <w:bookmarkEnd w:id="74"/>
    <w:bookmarkStart w:id="75" w:name="ref-williams1994"/>
    <w:p>
      <w:pPr>
        <w:pStyle w:val="Bibliography"/>
      </w:pPr>
      <w:r>
        <w:t xml:space="preserve">Williams, T. D. 1994. Intraspecific variation in egg size and egg composition in birds: Effects on offspring fitness. Biol Rev Camb Philos Soc 69:35–59.</w:t>
      </w:r>
    </w:p>
    <w:bookmarkEnd w:id="75"/>
    <w:bookmarkStart w:id="76" w:name="ref-winkler1987"/>
    <w:p>
      <w:pPr>
        <w:pStyle w:val="Bibliography"/>
      </w:pPr>
      <w:r>
        <w:t xml:space="preserve">Winkler, D. W., and K. Wallin. 1987. Offspring size and number: A life history model linking effort per offspring and total effort. Am Nat 129:708–720.</w:t>
      </w:r>
    </w:p>
    <w:bookmarkEnd w:id="76"/>
    <w:bookmarkStart w:id="77"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7"/>
    <w:bookmarkStart w:id="78" w:name="ref-yosef2008"/>
    <w:p>
      <w:pPr>
        <w:pStyle w:val="Bibliography"/>
      </w:pPr>
      <w:r>
        <w:t xml:space="preserve">Yosef, R., and P. Zduniak. 2008. Variation in clutch size, egg size variability and reproductive output in the desert finch (rhodospiza obsoleta). J Arid Environ 72:1631–1635.</w:t>
      </w:r>
    </w:p>
    <w:bookmarkEnd w:id="78"/>
    <w:bookmarkEnd w:id="79"/>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3" w:name="fig-one"/>
          <w:p>
            <w:pPr>
              <w:pStyle w:val="Compact"/>
              <w:jc w:val="center"/>
            </w:pPr>
            <w:r>
              <w:drawing>
                <wp:inline>
                  <wp:extent cx="3810000" cy="2540000"/>
                  <wp:effectExtent b="0" l="0" r="0" t="0"/>
                  <wp:docPr descr="" title="" id="81" name="Picture"/>
                  <a:graphic>
                    <a:graphicData uri="http://schemas.openxmlformats.org/drawingml/2006/picture">
                      <pic:pic>
                        <pic:nvPicPr>
                          <pic:cNvPr descr="figure_1.jpg" id="82"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egg perimeter (mm) plotted against clutch size for the first (salmon) and second (blue) clutches of n = 42 female European earwigs (</w:t>
            </w:r>
            <w:r>
              <w:rPr>
                <w:i/>
                <w:iCs/>
              </w:rPr>
              <w:t xml:space="preserve">F. auricularia</w:t>
            </w:r>
            <w:r>
              <w:t xml:space="preserve">). Data are raw values.</w:t>
            </w:r>
          </w:p>
          <w:bookmarkEnd w:id="8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fig-two"/>
          <w:p>
            <w:pPr>
              <w:pStyle w:val="Compact"/>
              <w:jc w:val="center"/>
            </w:pPr>
            <w:r>
              <w:drawing>
                <wp:inline>
                  <wp:extent cx="3810000" cy="2540000"/>
                  <wp:effectExtent b="0" l="0" r="0" t="0"/>
                  <wp:docPr descr="" title="" id="85" name="Picture"/>
                  <a:graphic>
                    <a:graphicData uri="http://schemas.openxmlformats.org/drawingml/2006/picture">
                      <pic:pic>
                        <pic:nvPicPr>
                          <pic:cNvPr descr="figure_2.jpg" id="86"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Among and (b) within-female egg size variation in the first and second clutches of n = 42 female European earwigs (</w:t>
            </w:r>
            <w:r>
              <w:rPr>
                <w:i/>
                <w:iCs/>
              </w:rPr>
              <w:t xml:space="preserve">F. auricularia</w:t>
            </w:r>
            <w:r>
              <w:t xml:space="preserve">).</w:t>
            </w:r>
          </w:p>
          <w:bookmarkEnd w:id="87"/>
        </w:tc>
      </w:tr>
    </w:tbl>
    <w:bookmarkEnd w:id="88"/>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2026-02-17T14:47:39Z</dcterms:created>
  <dcterms:modified xsi:type="dcterms:W3CDTF">2026-02-17T14:47:39Z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