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Supplemental Material: Residual correlation shows that European earwigs do not trade off clutch and egg size.</w:t>
      </w:r>
    </w:p>
    <w:p>
      <w:pPr>
        <w:pStyle w:val="Author"/>
      </w:pPr>
      <w:r>
        <w:t xml:space="preserve">Clint D. Kelly</w:t>
      </w:r>
      <w:r>
        <w:rPr>
          <w:vertAlign w:val="superscript"/>
        </w:rPr>
        <w:t xml:space="preserve">1,✉</w:t>
      </w:r>
    </w:p>
    <w:p>
      <w:pPr>
        <w:pStyle w:val="FirstParagraph"/>
      </w:pPr>
      <w:r>
        <w:rPr>
          <w:vertAlign w:val="superscript"/>
        </w:rPr>
        <w:t xml:space="preserve">1</w:t>
      </w:r>
      <w:r>
        <w:t xml:space="preserve"> </w:t>
      </w:r>
      <w:r>
        <w:t xml:space="preserve">Département des Sciences biologiques, Université du Québec à Montréal, Montréal, Canada</w:t>
      </w:r>
    </w:p>
    <w:p>
      <w:pPr>
        <w:pStyle w:val="BodyText"/>
      </w:pPr>
      <w:r>
        <w:rPr>
          <w:vertAlign w:val="superscript"/>
        </w:rPr>
        <w:t xml:space="preserve">✉</w:t>
      </w:r>
      <w:r>
        <w:t xml:space="preserve"> </w:t>
      </w:r>
      <w:r>
        <w:t xml:space="preserve">Correspondence:</w:t>
      </w:r>
      <w:r>
        <w:t xml:space="preserve"> </w:t>
      </w:r>
      <w:hyperlink r:id="rId20">
        <w:r>
          <w:rPr>
            <w:rStyle w:val="Hyperlink"/>
          </w:rPr>
          <w:t xml:space="preserve">Clint D. Kelly &lt;kelly.clint@uqam.ca&gt;</w:t>
        </w:r>
      </w:hyperlink>
    </w:p>
    <w:p>
      <w:r>
        <w:br w:type="page"/>
      </w:r>
    </w:p>
    <w:p>
      <w:pPr>
        <w:pStyle w:val="BodyText"/>
      </w:pPr>
      <w:r>
        <w:t xml:space="preserve">—– end of section:</w:t>
      </w:r>
    </w:p>
    <w:p>
      <w:r>
        <w:br w:type="page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 1: Draws were sampled using sample(hmc). For each parameter, Bulk_ESS</w:t>
            </w:r>
            <w:r>
              <w:t xml:space="preserve"> </w:t>
            </w:r>
            <w:r>
              <w:t xml:space="preserve">and Tail_ESS are effective sample size measures, and Rhat is the potential</w:t>
            </w:r>
            <w:r>
              <w:t xml:space="preserve"> </w:t>
            </w:r>
            <w:r>
              <w:t xml:space="preserve">scale reduction factor on split chains (at convergence, Rhat = 1).</w:t>
            </w:r>
          </w:p>
          <w:p>
            <w:pPr>
              <w:jc w:val="center"/>
            </w:pPr>
            <w:r>
              <w:t xml:space="preserve">Family: gaussian</w:t>
            </w:r>
            <w:r>
              <w:t xml:space="preserve"> </w:t>
            </w:r>
            <w:r>
              <w:t xml:space="preserve">Links: mu = identity</w:t>
            </w:r>
            <w:r>
              <w:t xml:space="preserve"> </w:t>
            </w:r>
            <w:r>
              <w:t xml:space="preserve">Formula: mean.egg.size ~ egg_number_within + egg_number_between + (1 | id)</w:t>
            </w:r>
            <w:r>
              <w:t xml:space="preserve"> </w:t>
            </w:r>
            <w:r>
              <w:t xml:space="preserve">Data: df (Number of observations: 84)</w:t>
            </w:r>
            <w:r>
              <w:t xml:space="preserve"> </w:t>
            </w:r>
            <w:r>
              <w:t xml:space="preserve">Draws: 4 chains, each with iter = 4000; warmup = 2000; thin = 1;</w:t>
            </w:r>
            <w:r>
              <w:t xml:space="preserve"> </w:t>
            </w:r>
            <w:r>
              <w:t xml:space="preserve">total post-warmup draws = 8000</w:t>
            </w:r>
          </w:p>
          <w:p>
            <w:pPr>
              <w:jc w:val="center"/>
            </w:pPr>
            <w:r>
              <w:t xml:space="preserve">Multilevel Hyperparameters:</w:t>
            </w:r>
            <w:r>
              <w:t xml:space="preserve"> </w:t>
            </w:r>
            <w:r>
              <w:t xml:space="preserve">~id (Number of levels: 42)</w:t>
            </w:r>
            <w:r>
              <w:t xml:space="preserve"> </w:t>
            </w:r>
            <w:r>
              <w:t xml:space="preserve">Estimate Est.Error l-95% CI u-95% CI Rhat Bulk_ESS Tail_ESS</w:t>
            </w:r>
            <w:r>
              <w:t xml:space="preserve"> </w:t>
            </w:r>
            <w:r>
              <w:t xml:space="preserve">sd(Intercept) 0.07 0.04 0.00 0.15 1.00 1489 3079</w:t>
            </w:r>
          </w:p>
          <w:p>
            <w:pPr>
              <w:jc w:val="center"/>
            </w:pPr>
            <w:r>
              <w:t xml:space="preserve">Regression Coefficients:</w:t>
            </w:r>
            <w:r>
              <w:t xml:space="preserve"> </w:t>
            </w:r>
            <w:r>
              <w:t xml:space="preserve">Estimate Est.Error l-95% CI u-95% CI Rhat Bulk_ESS Tail_ESS</w:t>
            </w:r>
            <w:r>
              <w:t xml:space="preserve"> </w:t>
            </w:r>
            <w:r>
              <w:t xml:space="preserve">Intercept 3.63 0.09 3.47 3.80 1.00 9779 6852</w:t>
            </w:r>
            <w:r>
              <w:t xml:space="preserve"> </w:t>
            </w:r>
            <w:r>
              <w:t xml:space="preserve">egg_number_within 0.00 0.00 -0.00 0.01 1.00 14557 4737</w:t>
            </w:r>
            <w:r>
              <w:t xml:space="preserve"> </w:t>
            </w:r>
            <w:r>
              <w:t xml:space="preserve">egg_number_between -0.00 0.00 -0.01 0.00 1.00 10432 6278</w:t>
            </w:r>
          </w:p>
          <w:p>
            <w:pPr>
              <w:jc w:val="center"/>
            </w:pPr>
            <w:r>
              <w:t xml:space="preserve">Further Distributional Parameters:</w:t>
            </w:r>
            <w:r>
              <w:t xml:space="preserve"> </w:t>
            </w:r>
            <w:r>
              <w:t xml:space="preserve">Estimate Est.Error l-95% CI u-95% CI Rhat Bulk_ESS Tail_ESS</w:t>
            </w:r>
            <w:r>
              <w:t xml:space="preserve"> </w:t>
            </w:r>
            <w:r>
              <w:t xml:space="preserve">sigma 0.20 0.02 0.17 0.24 1.00 2622 4670</w:t>
            </w:r>
          </w:p>
          <w:bookmarkEnd w:id="21"/>
        </w:tc>
      </w:tr>
    </w:tbl>
    <w:p>
      <w:r>
        <w:br w:type="page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 2: Comparison of Bayesian multivariate mixed-effects models having different measures of body size (pronotum length, body mass, scaled mass index, PC1) or no covariate (null). Models were compared by estimating their out-of-sample predictive performance using Approximate Leave-One-Out Cross-Validation (LOO-CV) and then ranked based on their Expected Log Predictive Density (ELPD).</w:t>
            </w:r>
          </w:p>
          <w:p>
            <w:pPr>
              <w:pStyle w:val="Compact"/>
              <w:jc w:val="center"/>
            </w:pPr>
            <w:r>
              <w:t xml:space="preserve">The difference in predictive accuracy, as indexed by Expected Log Predictive</w:t>
            </w:r>
            <w:r>
              <w:t xml:space="preserve"> </w:t>
            </w:r>
            <w:r>
              <w:t xml:space="preserve">Density (ELPD-LOO), suggests that</w:t>
            </w:r>
            <w:r>
              <w:t xml:space="preserve"> </w:t>
            </w:r>
            <w:r>
              <w:t xml:space="preserve">‘fit.null’</w:t>
            </w:r>
            <w:r>
              <w:t xml:space="preserve"> </w:t>
            </w:r>
            <w:r>
              <w:t xml:space="preserve">is the best model (ELPD = 8.71),</w:t>
            </w:r>
            <w:r>
              <w:t xml:space="preserve"> </w:t>
            </w:r>
            <w:r>
              <w:t xml:space="preserve">followed by</w:t>
            </w:r>
            <w:r>
              <w:t xml:space="preserve"> </w:t>
            </w:r>
            <w:r>
              <w:t xml:space="preserve">‘fit.mass’</w:t>
            </w:r>
            <w:r>
              <w:t xml:space="preserve"> </w:t>
            </w:r>
            <w:r>
              <w:t xml:space="preserve">(diff-ELPD = -0.97 +- 0.54, p = 0.071),</w:t>
            </w:r>
            <w:r>
              <w:t xml:space="preserve"> </w:t>
            </w:r>
            <w:r>
              <w:t xml:space="preserve">‘fit.pc1’</w:t>
            </w:r>
            <w:r>
              <w:t xml:space="preserve"> </w:t>
            </w:r>
            <w:r>
              <w:t xml:space="preserve">(diff-ELPD = -1.13 +- 0.34, p &lt; .001),</w:t>
            </w:r>
            <w:r>
              <w:t xml:space="preserve"> </w:t>
            </w:r>
            <w:r>
              <w:t xml:space="preserve">‘fit.smi’</w:t>
            </w:r>
            <w:r>
              <w:t xml:space="preserve"> </w:t>
            </w:r>
            <w:r>
              <w:t xml:space="preserve">(diff-ELPD = -1.25 +- 0.37, p</w:t>
            </w:r>
            <w:r>
              <w:t xml:space="preserve"> </w:t>
            </w:r>
            <w:r>
              <w:t xml:space="preserve">&lt; .001) and</w:t>
            </w:r>
            <w:r>
              <w:t xml:space="preserve"> </w:t>
            </w:r>
            <w:r>
              <w:t xml:space="preserve">‘fit.pro’</w:t>
            </w:r>
            <w:r>
              <w:t xml:space="preserve"> </w:t>
            </w:r>
            <w:r>
              <w:t xml:space="preserve">(diff-ELPD = -1.32 +- 0.38, p &lt; .001)</w:t>
            </w:r>
          </w:p>
          <w:bookmarkEnd w:id="22"/>
        </w:tc>
      </w:tr>
    </w:tbl>
    <w:p>
      <w:r>
        <w:br w:type="page"/>
      </w:r>
    </w:p>
    <w:sectPr w:rsidR="00D16E09" w:rsidSect="00464596">
      <w:headerReference r:id="rId10" w:type="even"/>
      <w:headerReference r:id="rId9" w:type="default"/>
      <w:footerReference r:id="rId12" w:type="even"/>
      <w:footerReference r:id="rId11" w:type="default"/>
      <w:pgSz w:h="15840" w:w="12240"/>
      <w:pgMar w:bottom="2024" w:footer="737" w:gutter="0" w:header="737" w:left="1418" w:right="1418" w:top="1531"/>
      <w:lnNumType w:countBy="1" w:restart="continuous"/>
      <w:cols w:space="720"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Times New Roman (Body CS)">
    <w:altName w:val="Times New Roman"/>
    <w:panose1 w:val="020B0604020202020204"/>
    <w:charset w:val="00"/>
    <w:family w:val="roman"/>
    <w:notTrueType/>
    <w:pitch w:val="variable"/>
    <w:sig w:usb0="00002A87" w:usb1="80000000" w:usb2="00000008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05473223"/>
      <w:docPartObj>
        <w:docPartGallery w:val="Page Numbers (Bottom of Page)"/>
        <w:docPartUnique/>
      </w:docPartObj>
    </w:sdtPr>
    <w:sdtContent>
      <w:p w14:paraId="57827767" w14:textId="799FD113" w:rsidR="00CE76D0" w:rsidRDefault="00CE76D0" w:rsidP="00F25F6C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1BD49C43" w14:textId="77777777" w:rsidR="00CE76D0" w:rsidRDefault="00CE76D0" w:rsidP="00CE76D0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267625058"/>
      <w:docPartObj>
        <w:docPartGallery w:val="Page Numbers (Bottom of Page)"/>
        <w:docPartUnique/>
      </w:docPartObj>
    </w:sdtPr>
    <w:sdtContent>
      <w:p w14:paraId="3DB48E90" w14:textId="23080826" w:rsidR="00CE76D0" w:rsidRDefault="00CE76D0" w:rsidP="00F25F6C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0B62DCE4" w14:textId="77777777" w:rsidR="00CE76D0" w:rsidRDefault="00CE76D0" w:rsidP="00CE76D0">
    <w:pPr>
      <w:pStyle w:val="Footer"/>
      <w:ind w:right="360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243256960"/>
      <w:docPartObj>
        <w:docPartGallery w:val="Page Numbers (Top of Page)"/>
        <w:docPartUnique/>
      </w:docPartObj>
    </w:sdtPr>
    <w:sdtContent>
      <w:p w14:paraId="1616C1F3" w14:textId="6DFF5DDD" w:rsidR="00D100A8" w:rsidRDefault="00D100A8" w:rsidP="00F25F6C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1B09DCE" w14:textId="77777777" w:rsidR="00D100A8" w:rsidRDefault="00D100A8" w:rsidP="00D100A8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CA2212" w14:textId="3FC6FA33" w:rsidR="00D100A8" w:rsidRDefault="00D100A8" w:rsidP="00F25F6C">
    <w:pPr>
      <w:pStyle w:val="Header"/>
      <w:framePr w:wrap="none" w:vAnchor="text" w:hAnchor="margin" w:xAlign="right" w:y="1"/>
      <w:rPr>
        <w:rStyle w:val="PageNumber"/>
      </w:rPr>
    </w:pPr>
  </w:p>
  <w:p w14:paraId="443FE0C0" w14:textId="77777777" w:rsidR="00D100A8" w:rsidRDefault="00D100A8" w:rsidP="00232669">
    <w:pPr>
      <w:pStyle w:val="Header"/>
      <w:ind w:right="360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D5E45BC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C25E26BA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237EE0F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5D76EAF2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68ACF7EE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1D5CDB1E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CF883DB2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3B5A45A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D8826D8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92543F56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2C1AE401"/>
    <w:multiLevelType w:val="multilevel"/>
    <w:tmpl w:val="05CEFCFA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15:restartNumberingAfterBreak="0" w:abstractNumId="11">
    <w:nsid w:val="2E3D24D9"/>
    <w:multiLevelType w:val="multilevel"/>
    <w:tmpl w:val="1E004D3C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lowerLetter"/>
      <w:lvlText w:val="%2."/>
      <w:lvlJc w:val="left"/>
      <w:pPr>
        <w:ind w:hanging="360" w:left="1440"/>
      </w:pPr>
    </w:lvl>
    <w:lvl w:ilvl="2">
      <w:start w:val="1"/>
      <w:numFmt w:val="lowerRoman"/>
      <w:lvlText w:val="%3."/>
      <w:lvlJc w:val="right"/>
      <w:pPr>
        <w:ind w:hanging="18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lowerLetter"/>
      <w:lvlText w:val="%5."/>
      <w:lvlJc w:val="left"/>
      <w:pPr>
        <w:ind w:hanging="360" w:left="3600"/>
      </w:pPr>
    </w:lvl>
    <w:lvl w:ilvl="5">
      <w:start w:val="1"/>
      <w:numFmt w:val="lowerRoman"/>
      <w:lvlText w:val="%6."/>
      <w:lvlJc w:val="right"/>
      <w:pPr>
        <w:ind w:hanging="18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lowerLetter"/>
      <w:lvlText w:val="%8."/>
      <w:lvlJc w:val="left"/>
      <w:pPr>
        <w:ind w:hanging="360" w:left="5760"/>
      </w:pPr>
    </w:lvl>
    <w:lvl w:ilvl="8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2">
    <w:nsid w:val="4A572E80"/>
    <w:multiLevelType w:val="hybridMultilevel"/>
    <w:tmpl w:val="1E004D3C"/>
    <w:lvl w:ilvl="0" w:tplc="99CE2436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845054215" w:numId="1">
    <w:abstractNumId w:val="10"/>
  </w:num>
  <w:num w16cid:durableId="1866140359" w:numId="2">
    <w:abstractNumId w:val="0"/>
  </w:num>
  <w:num w16cid:durableId="2053848946" w:numId="3">
    <w:abstractNumId w:val="1"/>
  </w:num>
  <w:num w16cid:durableId="1342463185" w:numId="4">
    <w:abstractNumId w:val="2"/>
  </w:num>
  <w:num w16cid:durableId="1274483611" w:numId="5">
    <w:abstractNumId w:val="3"/>
  </w:num>
  <w:num w16cid:durableId="995885320" w:numId="6">
    <w:abstractNumId w:val="8"/>
  </w:num>
  <w:num w16cid:durableId="896205620" w:numId="7">
    <w:abstractNumId w:val="4"/>
  </w:num>
  <w:num w16cid:durableId="1489981213" w:numId="8">
    <w:abstractNumId w:val="5"/>
  </w:num>
  <w:num w16cid:durableId="829293693" w:numId="9">
    <w:abstractNumId w:val="6"/>
  </w:num>
  <w:num w16cid:durableId="456608145" w:numId="10">
    <w:abstractNumId w:val="7"/>
  </w:num>
  <w:num w16cid:durableId="75834470" w:numId="11">
    <w:abstractNumId w:val="9"/>
  </w:num>
  <w:num w16cid:durableId="1124497384" w:numId="12">
    <w:abstractNumId w:val="12"/>
  </w:num>
  <w:num w16cid:durableId="442194333" w:numId="13">
    <w:abstractNumId w:val="11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6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0307DE"/>
    <w:rsid w:val="00041E69"/>
    <w:rsid w:val="000C346C"/>
    <w:rsid w:val="000E7DF5"/>
    <w:rsid w:val="00106939"/>
    <w:rsid w:val="001417A7"/>
    <w:rsid w:val="00193F49"/>
    <w:rsid w:val="001979AD"/>
    <w:rsid w:val="001D38FE"/>
    <w:rsid w:val="001E40BB"/>
    <w:rsid w:val="001F5DEF"/>
    <w:rsid w:val="00232669"/>
    <w:rsid w:val="00252E2E"/>
    <w:rsid w:val="00272D89"/>
    <w:rsid w:val="00273020"/>
    <w:rsid w:val="002D1FEF"/>
    <w:rsid w:val="003131CC"/>
    <w:rsid w:val="003D6D18"/>
    <w:rsid w:val="00414294"/>
    <w:rsid w:val="0043074D"/>
    <w:rsid w:val="00464596"/>
    <w:rsid w:val="00485B4F"/>
    <w:rsid w:val="004E29B3"/>
    <w:rsid w:val="004F0318"/>
    <w:rsid w:val="004F1E13"/>
    <w:rsid w:val="004F313A"/>
    <w:rsid w:val="0051212F"/>
    <w:rsid w:val="00513CF5"/>
    <w:rsid w:val="00514785"/>
    <w:rsid w:val="00537A4C"/>
    <w:rsid w:val="00581971"/>
    <w:rsid w:val="00590D07"/>
    <w:rsid w:val="005C4826"/>
    <w:rsid w:val="00603165"/>
    <w:rsid w:val="00641EC4"/>
    <w:rsid w:val="0065421B"/>
    <w:rsid w:val="006B4643"/>
    <w:rsid w:val="006B5CD4"/>
    <w:rsid w:val="006C5D88"/>
    <w:rsid w:val="006D02B1"/>
    <w:rsid w:val="00732200"/>
    <w:rsid w:val="0074662F"/>
    <w:rsid w:val="00746FBE"/>
    <w:rsid w:val="007472BC"/>
    <w:rsid w:val="00753713"/>
    <w:rsid w:val="00783F9C"/>
    <w:rsid w:val="00784D58"/>
    <w:rsid w:val="00796EEA"/>
    <w:rsid w:val="0079719B"/>
    <w:rsid w:val="007F08B9"/>
    <w:rsid w:val="007F5E62"/>
    <w:rsid w:val="00812558"/>
    <w:rsid w:val="00851699"/>
    <w:rsid w:val="008D3402"/>
    <w:rsid w:val="008D6863"/>
    <w:rsid w:val="008D69E1"/>
    <w:rsid w:val="008E79E4"/>
    <w:rsid w:val="0090509B"/>
    <w:rsid w:val="00921965"/>
    <w:rsid w:val="00923B2D"/>
    <w:rsid w:val="00930300"/>
    <w:rsid w:val="009516B1"/>
    <w:rsid w:val="009679C5"/>
    <w:rsid w:val="00975F65"/>
    <w:rsid w:val="009815B0"/>
    <w:rsid w:val="009A7662"/>
    <w:rsid w:val="009F1191"/>
    <w:rsid w:val="00A0102A"/>
    <w:rsid w:val="00A52F6C"/>
    <w:rsid w:val="00A5426C"/>
    <w:rsid w:val="00AA05EA"/>
    <w:rsid w:val="00AC0509"/>
    <w:rsid w:val="00AD10C6"/>
    <w:rsid w:val="00B122AB"/>
    <w:rsid w:val="00B16553"/>
    <w:rsid w:val="00B229FD"/>
    <w:rsid w:val="00B24381"/>
    <w:rsid w:val="00B367D0"/>
    <w:rsid w:val="00B42D7A"/>
    <w:rsid w:val="00B86B75"/>
    <w:rsid w:val="00BC19B9"/>
    <w:rsid w:val="00BC48D5"/>
    <w:rsid w:val="00BF10FD"/>
    <w:rsid w:val="00C04017"/>
    <w:rsid w:val="00C36279"/>
    <w:rsid w:val="00C5226A"/>
    <w:rsid w:val="00C742F5"/>
    <w:rsid w:val="00C74E5F"/>
    <w:rsid w:val="00C91552"/>
    <w:rsid w:val="00CB0BD1"/>
    <w:rsid w:val="00CD0B57"/>
    <w:rsid w:val="00CD5B1B"/>
    <w:rsid w:val="00CD64F0"/>
    <w:rsid w:val="00CE76D0"/>
    <w:rsid w:val="00D100A8"/>
    <w:rsid w:val="00D151A9"/>
    <w:rsid w:val="00D16E09"/>
    <w:rsid w:val="00D37451"/>
    <w:rsid w:val="00D63932"/>
    <w:rsid w:val="00D700CE"/>
    <w:rsid w:val="00DB45E1"/>
    <w:rsid w:val="00DE1154"/>
    <w:rsid w:val="00E129FB"/>
    <w:rsid w:val="00E315A3"/>
    <w:rsid w:val="00E377EC"/>
    <w:rsid w:val="00E42ECF"/>
    <w:rsid w:val="00E97606"/>
    <w:rsid w:val="00EC40EF"/>
    <w:rsid w:val="00ED4ADB"/>
    <w:rsid w:val="00EE03BB"/>
    <w:rsid w:val="00EE114C"/>
    <w:rsid w:val="00EE14C9"/>
    <w:rsid w:val="00EE45AD"/>
    <w:rsid w:val="00EE6CB3"/>
    <w:rsid w:val="00F04470"/>
    <w:rsid w:val="00F613D0"/>
    <w:rsid w:val="00F949F0"/>
    <w:rsid w:val="00FD1322"/>
    <w:rsid w:val="00FD4D81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uiPriority w:val="9"/>
    <w:qFormat/>
    <w:rsid w:val="0065421B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text1"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CB0BD1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text1" w:val="000000"/>
      <w:szCs w:val="32"/>
    </w:rPr>
  </w:style>
  <w:style w:styleId="Heading3" w:type="paragraph">
    <w:name w:val="heading 3"/>
    <w:basedOn w:val="Normal"/>
    <w:next w:val="BodyText"/>
    <w:uiPriority w:val="9"/>
    <w:unhideWhenUsed/>
    <w:qFormat/>
    <w:rsid w:val="0090509B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text1" w:val="000000"/>
      <w:sz w:val="28"/>
      <w:szCs w:val="28"/>
    </w:rPr>
  </w:style>
  <w:style w:styleId="Heading4" w:type="paragraph">
    <w:name w:val="heading 4"/>
    <w:basedOn w:val="Normal"/>
    <w:next w:val="BodyText"/>
    <w:uiPriority w:val="9"/>
    <w:unhideWhenUsed/>
    <w:qFormat/>
    <w:rsid w:val="00EE03BB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color w:themeColor="text1" w:val="000000"/>
      <w:sz w:val="32"/>
    </w:rPr>
  </w:style>
  <w:style w:styleId="Heading5" w:type="paragraph">
    <w:name w:val="heading 5"/>
    <w:basedOn w:val="Normal"/>
    <w:next w:val="BodyText"/>
    <w:uiPriority w:val="9"/>
    <w:unhideWhenUsed/>
    <w:qFormat/>
    <w:rsid w:val="0074662F"/>
    <w:pPr>
      <w:keepNext/>
      <w:keepLines/>
      <w:pageBreakBefore/>
      <w:spacing w:after="0" w:before="200"/>
      <w:outlineLvl w:val="4"/>
    </w:pPr>
    <w:rPr>
      <w:rFonts w:asciiTheme="majorHAnsi" w:cstheme="majorBidi" w:eastAsiaTheme="majorEastAsia" w:hAnsiTheme="majorHAnsi"/>
      <w:i/>
      <w:iCs/>
      <w:color w:themeColor="background1" w:val="FFFFFF"/>
      <w:sz w:val="10"/>
    </w:rPr>
  </w:style>
  <w:style w:styleId="Heading6" w:type="paragraph">
    <w:name w:val="heading 6"/>
    <w:basedOn w:val="Normal"/>
    <w:next w:val="BodyText"/>
    <w:uiPriority w:val="9"/>
    <w:unhideWhenUsed/>
    <w:qFormat/>
    <w:rsid w:val="000E7DF5"/>
    <w:pPr>
      <w:keepNext/>
      <w:keepLines/>
      <w:spacing w:after="0" w:before="200"/>
      <w:jc w:val="center"/>
      <w:outlineLvl w:val="5"/>
    </w:pPr>
    <w:rPr>
      <w:rFonts w:ascii="Times New Roman" w:cstheme="majorBidi" w:eastAsiaTheme="majorEastAsia" w:hAnsi="Times New Roman"/>
      <w:color w:themeColor="text1" w:val="000000"/>
      <w:sz w:val="28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</w:rPr>
  </w:style>
  <w:style w:styleId="Heading9" w:type="paragraph">
    <w:name w:val="heading 9"/>
    <w:basedOn w:val="Normal"/>
    <w:next w:val="BodyText"/>
    <w:uiPriority w:val="9"/>
    <w:unhideWhenUsed/>
    <w:qFormat/>
    <w:rsid w:val="00B122AB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text1" w:val="00000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7F5E62"/>
    <w:pPr>
      <w:spacing w:after="180" w:before="180" w:line="480" w:lineRule="auto"/>
    </w:pPr>
    <w:rPr>
      <w:rFonts w:ascii="Times New Roman" w:hAnsi="Times New Roman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AD10C6"/>
    <w:pPr>
      <w:keepNext/>
      <w:keepLines/>
      <w:spacing w:after="240" w:before="480"/>
      <w:jc w:val="center"/>
    </w:pPr>
    <w:rPr>
      <w:rFonts w:ascii="Times New Roman" w:cstheme="majorBidi" w:eastAsiaTheme="majorEastAsia" w:hAnsi="Times New Roman"/>
      <w:b/>
      <w:bCs/>
      <w:color w:themeColor="text1" w:val="000000"/>
      <w:sz w:val="36"/>
      <w:szCs w:val="36"/>
    </w:rPr>
  </w:style>
  <w:style w:styleId="Subtitle" w:type="paragraph">
    <w:name w:val="Subtitle"/>
    <w:basedOn w:val="Title"/>
    <w:next w:val="BodyText"/>
    <w:qFormat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</w:pPr>
    <w:rPr>
      <w:rFonts w:asciiTheme="majorHAnsi" w:cstheme="majorBidi" w:eastAsiaTheme="majorEastAsia" w:hAnsiTheme="majorHAnsi"/>
      <w:bCs/>
      <w:sz w:val="20"/>
      <w:szCs w:val="20"/>
    </w:r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unhideWhenUsed/>
    <w:qFormat/>
    <w:rsid w:val="00921965"/>
    <w:rPr>
      <w:rFonts w:ascii="Times New Roman" w:hAnsi="Times New Roman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rsid w:val="00ED4ADB"/>
    <w:pPr>
      <w:keepNext/>
    </w:pPr>
    <w:rPr>
      <w:i w:val="0"/>
    </w:rPr>
  </w:style>
  <w:style w:customStyle="1" w:styleId="ImageCaption" w:type="paragraph">
    <w:name w:val="Image Caption"/>
    <w:basedOn w:val="Caption"/>
    <w:rsid w:val="00ED4ADB"/>
    <w:rPr>
      <w:i w:val="0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shd w:color="auto" w:fill="F8F8F8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204A87"/>
      <w:sz w:val="22"/>
      <w:shd w:color="auto" w:fill="F8F8F8" w:val="clear"/>
    </w:rPr>
  </w:style>
  <w:style w:customStyle="1" w:styleId="DataTypeTok" w:type="character">
    <w:name w:val="DataTypeTok"/>
    <w:basedOn w:val="VerbatimChar"/>
    <w:rPr>
      <w:rFonts w:ascii="Consolas" w:hAnsi="Consolas"/>
      <w:color w:val="204A87"/>
      <w:sz w:val="22"/>
      <w:shd w:color="auto" w:fill="F8F8F8" w:val="clear"/>
    </w:rPr>
  </w:style>
  <w:style w:customStyle="1" w:styleId="DecValTok" w:type="character">
    <w:name w:val="DecValTok"/>
    <w:basedOn w:val="VerbatimChar"/>
    <w:rPr>
      <w:rFonts w:ascii="Consolas" w:hAnsi="Consolas"/>
      <w:color w:val="0000CF"/>
      <w:sz w:val="22"/>
      <w:shd w:color="auto" w:fill="F8F8F8" w:val="clear"/>
    </w:rPr>
  </w:style>
  <w:style w:customStyle="1" w:styleId="BaseNTok" w:type="character">
    <w:name w:val="BaseNTok"/>
    <w:basedOn w:val="VerbatimChar"/>
    <w:rPr>
      <w:rFonts w:ascii="Consolas" w:hAnsi="Consolas"/>
      <w:color w:val="0000CF"/>
      <w:sz w:val="22"/>
      <w:shd w:color="auto" w:fill="F8F8F8" w:val="clear"/>
    </w:rPr>
  </w:style>
  <w:style w:customStyle="1" w:styleId="FloatTok" w:type="character">
    <w:name w:val="FloatTok"/>
    <w:basedOn w:val="VerbatimChar"/>
    <w:rPr>
      <w:rFonts w:ascii="Consolas" w:hAnsi="Consolas"/>
      <w:color w:val="0000CF"/>
      <w:sz w:val="22"/>
      <w:shd w:color="auto" w:fill="F8F8F8" w:val="clear"/>
    </w:rPr>
  </w:style>
  <w:style w:customStyle="1" w:styleId="ConstantTok" w:type="character">
    <w:name w:val="ConstantTok"/>
    <w:basedOn w:val="VerbatimChar"/>
    <w:rPr>
      <w:rFonts w:ascii="Consolas" w:hAnsi="Consolas"/>
      <w:color w:val="000000"/>
      <w:sz w:val="22"/>
      <w:shd w:color="auto" w:fill="F8F8F8" w:val="clear"/>
    </w:rPr>
  </w:style>
  <w:style w:customStyle="1" w:styleId="CharTok" w:type="character">
    <w:name w:val="Char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000000"/>
      <w:sz w:val="22"/>
      <w:shd w:color="auto" w:fill="F8F8F8" w:val="clear"/>
    </w:rPr>
  </w:style>
  <w:style w:customStyle="1" w:styleId="StringTok" w:type="character">
    <w:name w:val="String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ImportTok" w:type="character">
    <w:name w:val="ImportTok"/>
    <w:basedOn w:val="VerbatimChar"/>
    <w:rPr>
      <w:rFonts w:ascii="Consolas" w:hAnsi="Consolas"/>
      <w:sz w:val="22"/>
      <w:shd w:color="auto" w:fill="F8F8F8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8F5902"/>
      <w:sz w:val="22"/>
      <w:shd w:color="auto" w:fill="F8F8F8" w:val="clear"/>
    </w:rPr>
  </w:style>
  <w:style w:customStyle="1" w:styleId="DocumentationTok" w:type="character">
    <w:name w:val="Documentation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OtherTok" w:type="character">
    <w:name w:val="OtherTok"/>
    <w:basedOn w:val="VerbatimChar"/>
    <w:rPr>
      <w:rFonts w:ascii="Consolas" w:hAnsi="Consolas"/>
      <w:color w:val="8F5902"/>
      <w:sz w:val="22"/>
      <w:shd w:color="auto" w:fill="F8F8F8" w:val="clear"/>
    </w:rPr>
  </w:style>
  <w:style w:customStyle="1" w:styleId="FunctionTok" w:type="character">
    <w:name w:val="FunctionTok"/>
    <w:basedOn w:val="VerbatimChar"/>
    <w:rPr>
      <w:rFonts w:ascii="Consolas" w:hAnsi="Consolas"/>
      <w:color w:val="000000"/>
      <w:sz w:val="22"/>
      <w:shd w:color="auto" w:fill="F8F8F8" w:val="clear"/>
    </w:rPr>
  </w:style>
  <w:style w:customStyle="1" w:styleId="VariableTok" w:type="character">
    <w:name w:val="VariableTok"/>
    <w:basedOn w:val="VerbatimChar"/>
    <w:rPr>
      <w:rFonts w:ascii="Consolas" w:hAnsi="Consolas"/>
      <w:color w:val="000000"/>
      <w:sz w:val="22"/>
      <w:shd w:color="auto" w:fill="F8F8F8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204A87"/>
      <w:sz w:val="22"/>
      <w:shd w:color="auto" w:fill="F8F8F8" w:val="clear"/>
    </w:rPr>
  </w:style>
  <w:style w:customStyle="1" w:styleId="OperatorTok" w:type="character">
    <w:name w:val="OperatorTok"/>
    <w:basedOn w:val="VerbatimChar"/>
    <w:rPr>
      <w:rFonts w:ascii="Consolas" w:hAnsi="Consolas"/>
      <w:b/>
      <w:color w:val="CE5C00"/>
      <w:sz w:val="22"/>
      <w:shd w:color="auto" w:fill="F8F8F8" w:val="clear"/>
    </w:rPr>
  </w:style>
  <w:style w:customStyle="1" w:styleId="BuiltInTok" w:type="character">
    <w:name w:val="BuiltInTok"/>
    <w:basedOn w:val="VerbatimChar"/>
    <w:rPr>
      <w:rFonts w:ascii="Consolas" w:hAnsi="Consolas"/>
      <w:sz w:val="22"/>
      <w:shd w:color="auto" w:fill="F8F8F8" w:val="clear"/>
    </w:rPr>
  </w:style>
  <w:style w:customStyle="1" w:styleId="ExtensionTok" w:type="character">
    <w:name w:val="ExtensionTok"/>
    <w:basedOn w:val="VerbatimChar"/>
    <w:rPr>
      <w:rFonts w:ascii="Consolas" w:hAnsi="Consolas"/>
      <w:sz w:val="22"/>
      <w:shd w:color="auto" w:fill="F8F8F8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8F5902"/>
      <w:sz w:val="22"/>
      <w:shd w:color="auto" w:fill="F8F8F8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C4A000"/>
      <w:sz w:val="22"/>
      <w:shd w:color="auto" w:fill="F8F8F8" w:val="clear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  <w:shd w:color="auto" w:fill="F8F8F8" w:val="clear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AlertTok" w:type="character">
    <w:name w:val="AlertTok"/>
    <w:basedOn w:val="VerbatimChar"/>
    <w:rPr>
      <w:rFonts w:ascii="Consolas" w:hAnsi="Consolas"/>
      <w:color w:val="EF2929"/>
      <w:sz w:val="22"/>
      <w:shd w:color="auto" w:fill="F8F8F8" w:val="clear"/>
    </w:rPr>
  </w:style>
  <w:style w:customStyle="1" w:styleId="ErrorTok" w:type="character">
    <w:name w:val="ErrorTok"/>
    <w:basedOn w:val="VerbatimChar"/>
    <w:rPr>
      <w:rFonts w:ascii="Consolas" w:hAnsi="Consolas"/>
      <w:b/>
      <w:color w:val="A40000"/>
      <w:sz w:val="22"/>
      <w:shd w:color="auto" w:fill="F8F8F8" w:val="clear"/>
    </w:rPr>
  </w:style>
  <w:style w:customStyle="1" w:styleId="NormalTok" w:type="character">
    <w:name w:val="NormalTok"/>
    <w:basedOn w:val="VerbatimChar"/>
    <w:rPr>
      <w:rFonts w:ascii="Consolas" w:hAnsi="Consolas"/>
      <w:sz w:val="22"/>
      <w:shd w:color="auto" w:fill="F8F8F8" w:val="clear"/>
    </w:rPr>
  </w:style>
  <w:style w:customStyle="1" w:styleId="BodyTextChar" w:type="character">
    <w:name w:val="Body Text Char"/>
    <w:basedOn w:val="DefaultParagraphFont"/>
    <w:link w:val="BodyText"/>
    <w:rsid w:val="007F5E62"/>
    <w:rPr>
      <w:rFonts w:ascii="Times New Roman" w:hAnsi="Times New Roman"/>
    </w:rPr>
  </w:style>
  <w:style w:styleId="LineNumber" w:type="character">
    <w:name w:val="line number"/>
    <w:basedOn w:val="DefaultParagraphFont"/>
    <w:semiHidden/>
    <w:unhideWhenUsed/>
    <w:rsid w:val="008E79E4"/>
  </w:style>
  <w:style w:styleId="TableGrid" w:type="table">
    <w:name w:val="Table Grid"/>
    <w:aliases w:val="Table Paper"/>
    <w:basedOn w:val="TableNormal"/>
    <w:rsid w:val="00C91552"/>
    <w:pPr>
      <w:spacing w:after="0"/>
    </w:pPr>
    <w:rPr>
      <w:rFonts w:ascii="Times New Roman" w:hAnsi="Times New Roman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A" w:type="table">
    <w:name w:val="TableA"/>
    <w:basedOn w:val="TableGrid"/>
    <w:uiPriority w:val="99"/>
    <w:rsid w:val="00FD1322"/>
    <w:rPr>
      <w:rFonts w:cs="Times New Roman (Body CS)"/>
    </w:rPr>
    <w:tblPr/>
  </w:style>
  <w:style w:styleId="PlainTable1" w:type="table">
    <w:name w:val="Plain Table 1"/>
    <w:basedOn w:val="TableNormal"/>
    <w:rsid w:val="00921965"/>
    <w:pPr>
      <w:spacing w:after="0"/>
    </w:pPr>
    <w:tblPr>
      <w:tblStyleRowBandSize w:val="1"/>
      <w:tblStyleColBandSize w:val="1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styleId="GridTable2" w:type="table">
    <w:name w:val="Grid Table 2"/>
    <w:basedOn w:val="TableNormal"/>
    <w:rsid w:val="00921965"/>
    <w:pPr>
      <w:spacing w:after="0"/>
    </w:pPr>
    <w:tblPr>
      <w:tblStyleRowBandSize w:val="1"/>
      <w:tblStyleColBandSize w:val="1"/>
      <w:tblBorders>
        <w:top w:color="666666" w:space="0" w:sz="2" w:themeColor="text1" w:themeTint="99" w:val="single"/>
        <w:bottom w:color="666666" w:space="0" w:sz="2" w:themeColor="text1" w:themeTint="99" w:val="single"/>
        <w:insideH w:color="666666" w:space="0" w:sz="2" w:themeColor="text1" w:themeTint="99" w:val="single"/>
        <w:insideV w:color="666666" w:space="0" w:sz="2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bottom w:color="666666" w:space="0" w:sz="12" w:themeColor="text1" w:themeTint="99" w:val="single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top w:color="666666" w:space="0" w:sz="2" w:themeColor="text1" w:themeTint="99" w:val="double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Header" w:type="paragraph">
    <w:name w:val="header"/>
    <w:basedOn w:val="Normal"/>
    <w:link w:val="HeaderChar"/>
    <w:unhideWhenUsed/>
    <w:rsid w:val="00CE76D0"/>
    <w:pPr>
      <w:tabs>
        <w:tab w:pos="4680" w:val="center"/>
        <w:tab w:pos="9360" w:val="right"/>
      </w:tabs>
      <w:spacing w:after="0"/>
    </w:pPr>
  </w:style>
  <w:style w:customStyle="1" w:styleId="HeaderChar" w:type="character">
    <w:name w:val="Header Char"/>
    <w:basedOn w:val="DefaultParagraphFont"/>
    <w:link w:val="Header"/>
    <w:rsid w:val="00CE76D0"/>
  </w:style>
  <w:style w:styleId="Footer" w:type="paragraph">
    <w:name w:val="footer"/>
    <w:basedOn w:val="Normal"/>
    <w:link w:val="FooterChar"/>
    <w:unhideWhenUsed/>
    <w:rsid w:val="00CE76D0"/>
    <w:pPr>
      <w:tabs>
        <w:tab w:pos="4680" w:val="center"/>
        <w:tab w:pos="9360" w:val="right"/>
      </w:tabs>
      <w:spacing w:after="0"/>
    </w:pPr>
  </w:style>
  <w:style w:customStyle="1" w:styleId="FooterChar" w:type="character">
    <w:name w:val="Footer Char"/>
    <w:basedOn w:val="DefaultParagraphFont"/>
    <w:link w:val="Footer"/>
    <w:rsid w:val="00CE76D0"/>
  </w:style>
  <w:style w:styleId="PageNumber" w:type="character">
    <w:name w:val="page number"/>
    <w:basedOn w:val="DefaultParagraphFont"/>
    <w:semiHidden/>
    <w:unhideWhenUsed/>
    <w:rsid w:val="00CE76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footer2.xml" Type="http://schemas.openxmlformats.org/officeDocument/2006/relationships/footer" /><Relationship Id="rId12" Target="footer1.xml" Type="http://schemas.openxmlformats.org/officeDocument/2006/relationships/footer" /><Relationship Type="http://schemas.openxmlformats.org/officeDocument/2006/relationships/hyperlink" Id="rId20" Target="mailto:kelly.clint@uqam.c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mailto:kelly.clint@uqam.c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2</Pages>
  <Words>167</Words>
  <Characters>779</Characters>
  <Application>Microsoft Office Word</Application>
  <DocSecurity>0</DocSecurity>
  <Lines>27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word_style_template</vt:lpstr>
    </vt:vector>
  </TitlesOfParts>
  <Company/>
  <LinksUpToDate>false</LinksUpToDate>
  <CharactersWithSpaces>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Supplemental Material: Residual correlation shows that European earwigs do not trade off clutch and egg size.</dc:title>
  <dc:creator>Clint D. Kelly1,✉</dc:creator>
  <cp:keywords/>
  <dcterms:created xsi:type="dcterms:W3CDTF">2026-02-17T14:01:13Z</dcterms:created>
  <dcterms:modified xsi:type="dcterms:W3CDTF">2026-02-17T14:01:13Z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Bibliography.bib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csl">
    <vt:lpwstr>evolution.csl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