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4F9F" w14:textId="77777777" w:rsidR="007F2D2B" w:rsidRDefault="007F2D2B" w:rsidP="007F2D2B">
      <w:pPr>
        <w:pStyle w:val="Heading1"/>
      </w:pPr>
      <w:bookmarkStart w:id="0" w:name="results"/>
      <w:r>
        <w:t>Results</w:t>
      </w:r>
    </w:p>
    <w:p w14:paraId="4A8C6219" w14:textId="77777777" w:rsidR="007F2D2B" w:rsidRDefault="007F2D2B" w:rsidP="007F2D2B">
      <w:pPr>
        <w:pStyle w:val="Heading3"/>
      </w:pPr>
      <w:bookmarkStart w:id="1" w:name="X2adf980c3cdf557e751ed69a8410e917bd83bb9"/>
      <w:r>
        <w:t>Effect of clutch order on egg size and number</w:t>
      </w:r>
    </w:p>
    <w:p w14:paraId="069C4309" w14:textId="77777777" w:rsidR="007F2D2B" w:rsidRDefault="007F2D2B" w:rsidP="007F2D2B">
      <w:pPr>
        <w:pStyle w:val="FirstParagraph"/>
      </w:pPr>
      <w:r>
        <w:t>Both egg number and egg size declined in the second clutch. In the multivariate Gaussian–Poisson model, egg size was smaller in clutch two (</w:t>
      </w:r>
      <m:oMath>
        <m:acc>
          <m:accPr>
            <m:chr m:val="‾"/>
            <m:ctrlPr>
              <w:rPr>
                <w:rFonts w:ascii="Cambria Math" w:hAnsi="Cambria Math"/>
              </w:rPr>
            </m:ctrlPr>
          </m:accPr>
          <m:e>
            <m:r>
              <w:rPr>
                <w:rFonts w:ascii="Cambria Math" w:hAnsi="Cambria Math"/>
              </w:rPr>
              <m:t>x</m:t>
            </m:r>
          </m:e>
        </m:acc>
      </m:oMath>
      <w:r>
        <w:t xml:space="preserve"> ± SE = 3.41 ± 0.03) relative to clutch one (</w:t>
      </w:r>
      <m:oMath>
        <m:acc>
          <m:accPr>
            <m:chr m:val="‾"/>
            <m:ctrlPr>
              <w:rPr>
                <w:rFonts w:ascii="Cambria Math" w:hAnsi="Cambria Math"/>
              </w:rPr>
            </m:ctrlPr>
          </m:accPr>
          <m:e>
            <m:r>
              <w:rPr>
                <w:rFonts w:ascii="Cambria Math" w:hAnsi="Cambria Math"/>
              </w:rPr>
              <m:t>x</m:t>
            </m:r>
          </m:e>
        </m:acc>
      </m:oMath>
      <w:r>
        <w:t xml:space="preserve"> = 3.54 ± 0.03; </w:t>
      </w:r>
      <m:oMath>
        <m:r>
          <w:rPr>
            <w:rFonts w:ascii="Cambria Math" w:hAnsi="Cambria Math"/>
          </w:rPr>
          <m:t>β</m:t>
        </m:r>
      </m:oMath>
      <w:r>
        <w:t xml:space="preserve"> = -0.12, 95% CrI (-0.21, -0.04). Egg number also declined significantly (clutch one: </w:t>
      </w:r>
      <m:oMath>
        <m:acc>
          <m:accPr>
            <m:chr m:val="‾"/>
            <m:ctrlPr>
              <w:rPr>
                <w:rFonts w:ascii="Cambria Math" w:hAnsi="Cambria Math"/>
              </w:rPr>
            </m:ctrlPr>
          </m:accPr>
          <m:e>
            <m:r>
              <w:rPr>
                <w:rFonts w:ascii="Cambria Math" w:hAnsi="Cambria Math"/>
              </w:rPr>
              <m:t>x</m:t>
            </m:r>
          </m:e>
        </m:acc>
      </m:oMath>
      <w:r>
        <w:t xml:space="preserve"> = 51.55 ± 2.49; clutch two: </w:t>
      </w:r>
      <m:oMath>
        <m:acc>
          <m:accPr>
            <m:chr m:val="‾"/>
            <m:ctrlPr>
              <w:rPr>
                <w:rFonts w:ascii="Cambria Math" w:hAnsi="Cambria Math"/>
              </w:rPr>
            </m:ctrlPr>
          </m:accPr>
          <m:e>
            <m:r>
              <w:rPr>
                <w:rFonts w:ascii="Cambria Math" w:hAnsi="Cambria Math"/>
              </w:rPr>
              <m:t>x</m:t>
            </m:r>
          </m:e>
        </m:acc>
      </m:oMath>
      <w:r>
        <w:t xml:space="preserve"> = 34.14 ± 2.65; log-scale </w:t>
      </w:r>
      <m:oMath>
        <m:r>
          <w:rPr>
            <w:rFonts w:ascii="Cambria Math" w:hAnsi="Cambria Math"/>
          </w:rPr>
          <m:t>β</m:t>
        </m:r>
      </m:oMath>
      <w:r>
        <w:t xml:space="preserve"> = -0.41, 95% CrI (-0.48, -0.34),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0.410</m:t>
            </m:r>
          </m:sup>
        </m:sSup>
        <m:r>
          <m:rPr>
            <m:sty m:val="p"/>
          </m:rPr>
          <w:rPr>
            <w:rFonts w:ascii="Cambria Math" w:hAnsi="Cambria Math"/>
          </w:rPr>
          <m:t>≈</m:t>
        </m:r>
        <m:r>
          <w:rPr>
            <w:rFonts w:ascii="Cambria Math" w:hAnsi="Cambria Math"/>
          </w:rPr>
          <m:t>0.66</m:t>
        </m:r>
      </m:oMath>
      <w:r>
        <w:t>). Among-female variation remained detectable for both egg size (SD = 0.091, 95% CrI [0.009, 0.165]) and egg number (SD = 0.355, 95% CrI [0.273, 0.460]), indicating persistent heterogeneity across broods.</w:t>
      </w:r>
    </w:p>
    <w:p w14:paraId="33C45D9A" w14:textId="77777777" w:rsidR="007F2D2B" w:rsidRDefault="007F2D2B" w:rsidP="007F2D2B">
      <w:pPr>
        <w:pStyle w:val="Heading3"/>
      </w:pPr>
      <w:bookmarkStart w:id="2" w:name="X8f40dbed1f2515dba178cdbe2247c63c8a0b998"/>
      <w:bookmarkEnd w:id="1"/>
      <w:r>
        <w:t>Multilevel correlations between egg number and egg size</w:t>
      </w:r>
    </w:p>
    <w:p w14:paraId="0F47B2AB" w14:textId="77777777" w:rsidR="007F2D2B" w:rsidRDefault="007F2D2B" w:rsidP="007F2D2B">
      <w:pPr>
        <w:pStyle w:val="FirstParagraph"/>
      </w:pPr>
      <w:r>
        <w:t>Across all observations, the raw Pearson correlation between egg number and egg size was weak and close to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suggesting no clear phenotypic association when hierarchical structure was ignored. In contrast, the between-female Pearson correlation calculated from female means was moderate and negative (</w:t>
      </w:r>
      <m:oMath>
        <m:sSub>
          <m:sSubPr>
            <m:ctrlPr>
              <w:rPr>
                <w:rFonts w:ascii="Cambria Math" w:hAnsi="Cambria Math"/>
              </w:rPr>
            </m:ctrlPr>
          </m:sSubPr>
          <m:e>
            <m:r>
              <w:rPr>
                <w:rFonts w:ascii="Cambria Math" w:hAnsi="Cambria Math"/>
              </w:rPr>
              <m:t>r</m:t>
            </m:r>
          </m:e>
          <m:sub>
            <m:r>
              <w:rPr>
                <w:rFonts w:ascii="Cambria Math" w:hAnsi="Cambria Math"/>
              </w:rPr>
              <m:t>between</m:t>
            </m:r>
          </m:sub>
        </m:sSub>
      </m:oMath>
      <w:r>
        <w:t xml:space="preserve"> = -0.31, 95% CI [-0.55, -0.02]; </w:t>
      </w:r>
      <w:hyperlink w:anchor="fig-one">
        <w:r>
          <w:rPr>
            <w:rStyle w:val="Hyperlink"/>
          </w:rPr>
          <w:t>Figure 1</w:t>
        </w:r>
      </w:hyperlink>
      <w:r>
        <w:t>). Females that produced more eggs on average tended to lay smaller eggs. The multivariate Gaussian model partitioned covariation into among-female and residual components. After accounting for female identity, the residual (within-female) correlation between egg number and egg size was effectively zero and highly uncertain (</w:t>
      </w:r>
      <m:oMath>
        <m:sSub>
          <m:sSubPr>
            <m:ctrlPr>
              <w:rPr>
                <w:rFonts w:ascii="Cambria Math" w:hAnsi="Cambria Math"/>
              </w:rPr>
            </m:ctrlPr>
          </m:sSubPr>
          <m:e>
            <m:r>
              <w:rPr>
                <w:rFonts w:ascii="Cambria Math" w:hAnsi="Cambria Math"/>
              </w:rPr>
              <m:t>r</m:t>
            </m:r>
          </m:e>
          <m:sub>
            <m:r>
              <w:rPr>
                <w:rFonts w:ascii="Cambria Math" w:hAnsi="Cambria Math"/>
              </w:rPr>
              <m:t>within</m:t>
            </m:r>
          </m:sub>
        </m:sSub>
      </m:oMath>
      <w:r>
        <w:t xml:space="preserve"> = 0.0066, 95% CI [-0.20, 0.23]; </w:t>
      </w:r>
      <w:hyperlink w:anchor="fig-two">
        <w:r>
          <w:rPr>
            <w:rStyle w:val="Hyperlink"/>
          </w:rPr>
          <w:t>Figure 2</w:t>
        </w:r>
      </w:hyperlink>
      <w:r>
        <w:t>). Thus, apparent phenotypic independence masked a moderate negative association among females but no detectable clutch-level trade-off within females.</w:t>
      </w:r>
    </w:p>
    <w:p w14:paraId="4C9DF5CE" w14:textId="77777777" w:rsidR="007F2D2B" w:rsidRDefault="007F2D2B" w:rsidP="007F2D2B">
      <w:pPr>
        <w:pStyle w:val="Heading3"/>
      </w:pPr>
      <w:bookmarkStart w:id="3" w:name="withinbetween-mixed-effects-models"/>
      <w:bookmarkEnd w:id="2"/>
      <w:r>
        <w:lastRenderedPageBreak/>
        <w:t>Within–between mixed-effects models</w:t>
      </w:r>
    </w:p>
    <w:p w14:paraId="62EBB5B4" w14:textId="77777777" w:rsidR="007F2D2B" w:rsidRDefault="007F2D2B" w:rsidP="007F2D2B">
      <w:pPr>
        <w:pStyle w:val="FirstParagraph"/>
      </w:pPr>
      <w:r>
        <w:t xml:space="preserve">In the within–between mixed-effects model, egg size varied among females (random-intercept SD = 0.07, 95% </w:t>
      </w:r>
      <w:proofErr w:type="spellStart"/>
      <w:r>
        <w:t>CrI</w:t>
      </w:r>
      <w:proofErr w:type="spellEnd"/>
      <w:r>
        <w:t xml:space="preserve"> [0.00, 0.15]). The within-female effect of egg number on egg size was small and uncertain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0.0028, 95% CrI [-0.0005, 0.0061]; </w:t>
      </w:r>
      <w:hyperlink w:anchor="fig-three">
        <w:r>
          <w:rPr>
            <w:rStyle w:val="Hyperlink"/>
          </w:rPr>
          <w:t>Figure 3</w:t>
        </w:r>
      </w:hyperlink>
      <w:r>
        <w:t>). On the natural scale, this corresponds to an increase of approximately 0.027 units in egg size for every additional 10 eggs within a female — an effect that was not credibly different from zero. In contrast, the between-female effect was negative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-0.0039, 95% CrI [-0.0076, -0.0001]; </w:t>
      </w:r>
      <w:hyperlink w:anchor="fig-one">
        <w:r>
          <w:rPr>
            <w:rStyle w:val="Hyperlink"/>
          </w:rPr>
          <w:t>Figure 1</w:t>
        </w:r>
      </w:hyperlink>
      <w:r>
        <w:t>). Females differing by 10 eggs in mean clutch size differed by approximately 0.038 units in egg size. Although the credible interval extended to zero, the posterior distribution was predominantly negative, consistent with a modest among-female trade-off.</w:t>
      </w:r>
    </w:p>
    <w:p w14:paraId="07A69A61" w14:textId="77777777" w:rsidR="007F2D2B" w:rsidRDefault="007F2D2B" w:rsidP="007F2D2B">
      <w:pPr>
        <w:pStyle w:val="BodyText"/>
      </w:pPr>
      <w:r>
        <w:t>Standardized coefficients reinforced the difference in magnitude between hierarchical levels. The standardized within-female effect was positive but uncertain (</w:t>
      </w:r>
      <m:oMath>
        <m:sSub>
          <m:sSubPr>
            <m:ctrlPr>
              <w:rPr>
                <w:rFonts w:ascii="Cambria Math" w:hAnsi="Cambria Math"/>
              </w:rPr>
            </m:ctrlPr>
          </m:sSubPr>
          <m:e>
            <m:r>
              <w:rPr>
                <w:rFonts w:ascii="Cambria Math" w:hAnsi="Cambria Math"/>
              </w:rPr>
              <m:t>β</m:t>
            </m:r>
          </m:e>
          <m:sub>
            <m:r>
              <w:rPr>
                <w:rFonts w:ascii="Cambria Math" w:hAnsi="Cambria Math"/>
              </w:rPr>
              <m:t>Wstandardized</m:t>
            </m:r>
          </m:sub>
        </m:sSub>
      </m:oMath>
      <w:r>
        <w:t xml:space="preserve"> = 0.17, 95% CrI [-0.03, 0.38]), whereas the standardized between-female effect was negative and its credible interval did not overlap zero (</w:t>
      </w:r>
      <m:oMath>
        <m:sSub>
          <m:sSubPr>
            <m:ctrlPr>
              <w:rPr>
                <w:rFonts w:ascii="Cambria Math" w:hAnsi="Cambria Math"/>
              </w:rPr>
            </m:ctrlPr>
          </m:sSubPr>
          <m:e>
            <m:r>
              <w:rPr>
                <w:rFonts w:ascii="Cambria Math" w:hAnsi="Cambria Math"/>
              </w:rPr>
              <m:t>β</m:t>
            </m:r>
          </m:e>
          <m:sub>
            <m:r>
              <w:rPr>
                <w:rFonts w:ascii="Cambria Math" w:hAnsi="Cambria Math"/>
              </w:rPr>
              <m:t>Bstandardized</m:t>
            </m:r>
          </m:sub>
        </m:sSub>
      </m:oMath>
      <w:r>
        <w:t xml:space="preserve"> = -0.23, 95% CrI [-0.455, -0.006]). Thus, the negative association was stronger and more consistent among females than within females.</w:t>
      </w:r>
    </w:p>
    <w:p w14:paraId="1D7D2281" w14:textId="77777777" w:rsidR="007F2D2B" w:rsidRDefault="007F2D2B" w:rsidP="007F2D2B">
      <w:pPr>
        <w:pStyle w:val="BodyText"/>
      </w:pPr>
      <w:r>
        <w:t>Allowing within-female slopes to vary among females produced similar fixed-effect estimates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0.0034, 95% CrI [-0.0004, 0.0076];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-0.0041, 95% CrI [-0.0082, -0.0002]; </w:t>
      </w:r>
      <w:hyperlink w:anchor="fig-three">
        <w:r>
          <w:rPr>
            <w:rStyle w:val="Hyperlink"/>
          </w:rPr>
          <w:t>Figure 3</w:t>
        </w:r>
      </w:hyperlink>
      <w:r>
        <w:t xml:space="preserve">). Variation in within-female slopes was small (SD = 0.0046, 95% </w:t>
      </w:r>
      <w:proofErr w:type="spellStart"/>
      <w:r>
        <w:t>CrI</w:t>
      </w:r>
      <w:proofErr w:type="spellEnd"/>
      <w:r>
        <w:t xml:space="preserve"> [0.0003, 0.0110]), and the intercept–slope correlation was highly uncertain (</w:t>
      </w:r>
      <w:r>
        <w:rPr>
          <w:i/>
          <w:iCs/>
        </w:rPr>
        <w:t>r</w:t>
      </w:r>
      <w:r>
        <w:t xml:space="preserve"> = 0.20, 95% </w:t>
      </w:r>
      <w:proofErr w:type="spellStart"/>
      <w:r>
        <w:t>CrI</w:t>
      </w:r>
      <w:proofErr w:type="spellEnd"/>
      <w:r>
        <w:t xml:space="preserve"> [-0.67, 0.85]), indicating no strong evidence that females differed substantially in plastic allocation patterns.</w:t>
      </w:r>
    </w:p>
    <w:p w14:paraId="64A1693B" w14:textId="77777777" w:rsidR="007F2D2B" w:rsidRDefault="007F2D2B" w:rsidP="007F2D2B">
      <w:pPr>
        <w:pStyle w:val="BodyText"/>
      </w:pPr>
      <w:r>
        <w:t xml:space="preserve">Because both egg number and egg size declined across clutches, clutch order was included as an additional fixed effect to test whether it explained the weak positive within-female slope. When </w:t>
      </w:r>
      <w:r>
        <w:lastRenderedPageBreak/>
        <w:t>clutch order was accounted for, the within-female effect collapsed to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-0.0004, 95% CrI [-0.0045, 0.0035]). Thus, there was no evidence that females plastically traded egg number against egg size within clutches; the apparent association in the initial model was entirely explained by parallel declines from clutch one to clutch two.</w:t>
      </w:r>
    </w:p>
    <w:p w14:paraId="1F4EE962" w14:textId="77777777" w:rsidR="007F2D2B" w:rsidRDefault="007F2D2B" w:rsidP="007F2D2B">
      <w:pPr>
        <w:pStyle w:val="Heading4"/>
      </w:pPr>
      <w:bookmarkStart w:id="4" w:name="Xa0713afe1a0937a4c359af3d72eeaa97e62c984"/>
      <w:r>
        <w:t>Egg size variation between females and within clutches</w:t>
      </w:r>
    </w:p>
    <w:p w14:paraId="315C0C20" w14:textId="77777777" w:rsidR="007F2D2B" w:rsidRDefault="007F2D2B" w:rsidP="007F2D2B">
      <w:pPr>
        <w:pStyle w:val="FirstParagraph"/>
      </w:pPr>
      <w:r>
        <w:t>Egg size exhibited substantial variation at both the between-female and within-clutch levels (</w:t>
      </w:r>
      <w:hyperlink w:anchor="fig-four">
        <w:r>
          <w:rPr>
            <w:rStyle w:val="Hyperlink"/>
          </w:rPr>
          <w:t>Figure 4</w:t>
        </w:r>
      </w:hyperlink>
      <w:r>
        <w:t xml:space="preserve">). Between-female variance was similar across reproductive events, with a median of 0.77 (95% </w:t>
      </w:r>
      <w:proofErr w:type="spellStart"/>
      <w:r>
        <w:t>CrI</w:t>
      </w:r>
      <w:proofErr w:type="spellEnd"/>
      <w:r>
        <w:t xml:space="preserve">: 0.52, 1.23) in first clutches and 0.64 (95% </w:t>
      </w:r>
      <w:proofErr w:type="spellStart"/>
      <w:r>
        <w:t>CrI</w:t>
      </w:r>
      <w:proofErr w:type="spellEnd"/>
      <w:r>
        <w:t xml:space="preserve">: 0.42, 1.00) in second clutches. The posterior median difference (second − first) was -0.14 (95% </w:t>
      </w:r>
      <w:proofErr w:type="spellStart"/>
      <w:r>
        <w:t>CrI</w:t>
      </w:r>
      <w:proofErr w:type="spellEnd"/>
      <w:r>
        <w:t xml:space="preserve">: -0.60, 0.29), and the posterior probability that between-female variance was greater in second clutches was 0.26, indicating no clear evidence of a difference. In contrast, within-clutch (egg-to-egg) variance was substantially higher in second clutches (median = 0.35 (95% </w:t>
      </w:r>
      <w:proofErr w:type="spellStart"/>
      <w:r>
        <w:t>CrI</w:t>
      </w:r>
      <w:proofErr w:type="spellEnd"/>
      <w:r>
        <w:t xml:space="preserve">: 0.33, 0.38) than in first clutches (median = 0.21 (95% </w:t>
      </w:r>
      <w:proofErr w:type="spellStart"/>
      <w:r>
        <w:t>CrI</w:t>
      </w:r>
      <w:proofErr w:type="spellEnd"/>
      <w:r>
        <w:t xml:space="preserve">: 0.20, 0.22). The posterior median difference was 0.14 (95% </w:t>
      </w:r>
      <w:proofErr w:type="spellStart"/>
      <w:r>
        <w:t>CrI</w:t>
      </w:r>
      <w:proofErr w:type="spellEnd"/>
      <w:r>
        <w:t>: 0.12, 0.17), with a posterior probability of 1.00, that within-clutch variance was greater in second clutches.</w:t>
      </w:r>
    </w:p>
    <w:p w14:paraId="3349F1F4" w14:textId="77777777" w:rsidR="007F2D2B" w:rsidRDefault="007F2D2B" w:rsidP="007F2D2B">
      <w:pPr>
        <w:pStyle w:val="BodyText"/>
      </w:pPr>
      <w:r>
        <w:t xml:space="preserve">Egg size was highly repeatable in both broods, but repeatability was higher in first broods (R = 0.64 [95% </w:t>
      </w:r>
      <w:proofErr w:type="spellStart"/>
      <w:r>
        <w:t>CrI</w:t>
      </w:r>
      <w:proofErr w:type="spellEnd"/>
      <w:r>
        <w:t xml:space="preserve">: 0.54, 0.74]) than in second broods (R = 0.79 [95% </w:t>
      </w:r>
      <w:proofErr w:type="spellStart"/>
      <w:r>
        <w:t>CrI</w:t>
      </w:r>
      <w:proofErr w:type="spellEnd"/>
      <w:r>
        <w:t>: 0.71, 0.86]), indicating greater within-female variance in egg size expression during second reproductive attempts.</w:t>
      </w:r>
    </w:p>
    <w:bookmarkEnd w:id="0"/>
    <w:bookmarkEnd w:id="3"/>
    <w:bookmarkEnd w:id="4"/>
    <w:p w14:paraId="65126E70" w14:textId="77777777" w:rsidR="00DA6638" w:rsidRPr="007F2D2B" w:rsidRDefault="00DA6638">
      <w:pPr>
        <w:rPr>
          <w:lang w:val="en-US"/>
        </w:rPr>
      </w:pPr>
    </w:p>
    <w:sectPr w:rsidR="00DA6638" w:rsidRPr="007F2D2B" w:rsidSect="007F2D2B">
      <w:pgSz w:w="12240" w:h="15840"/>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20"/>
  <w:drawingGridVerticalSpacing w:val="163"/>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2B"/>
    <w:rsid w:val="00004AA4"/>
    <w:rsid w:val="00010472"/>
    <w:rsid w:val="0001476E"/>
    <w:rsid w:val="00025489"/>
    <w:rsid w:val="00031E1F"/>
    <w:rsid w:val="0004389E"/>
    <w:rsid w:val="00073B0B"/>
    <w:rsid w:val="00082F68"/>
    <w:rsid w:val="000A178A"/>
    <w:rsid w:val="000A1D27"/>
    <w:rsid w:val="000A3F22"/>
    <w:rsid w:val="000B3C84"/>
    <w:rsid w:val="000C429C"/>
    <w:rsid w:val="000D4B4D"/>
    <w:rsid w:val="000E108B"/>
    <w:rsid w:val="000E6B53"/>
    <w:rsid w:val="000F0CE1"/>
    <w:rsid w:val="000F1858"/>
    <w:rsid w:val="00105B2F"/>
    <w:rsid w:val="00123C29"/>
    <w:rsid w:val="001279CA"/>
    <w:rsid w:val="0013278F"/>
    <w:rsid w:val="00133B56"/>
    <w:rsid w:val="0013527E"/>
    <w:rsid w:val="0013793D"/>
    <w:rsid w:val="00142CF5"/>
    <w:rsid w:val="00153ABC"/>
    <w:rsid w:val="0015422F"/>
    <w:rsid w:val="0015605D"/>
    <w:rsid w:val="00160B23"/>
    <w:rsid w:val="001611A3"/>
    <w:rsid w:val="00172352"/>
    <w:rsid w:val="0017437D"/>
    <w:rsid w:val="0017494D"/>
    <w:rsid w:val="00191B58"/>
    <w:rsid w:val="00193A18"/>
    <w:rsid w:val="00196763"/>
    <w:rsid w:val="00197536"/>
    <w:rsid w:val="001A40DB"/>
    <w:rsid w:val="001A594D"/>
    <w:rsid w:val="001B1467"/>
    <w:rsid w:val="001B2065"/>
    <w:rsid w:val="001C7938"/>
    <w:rsid w:val="001D66E9"/>
    <w:rsid w:val="001D68EE"/>
    <w:rsid w:val="001E32A1"/>
    <w:rsid w:val="001E36A5"/>
    <w:rsid w:val="00200086"/>
    <w:rsid w:val="00206185"/>
    <w:rsid w:val="002331FD"/>
    <w:rsid w:val="00233859"/>
    <w:rsid w:val="00244458"/>
    <w:rsid w:val="0024505F"/>
    <w:rsid w:val="00245B80"/>
    <w:rsid w:val="00250BC0"/>
    <w:rsid w:val="0026413F"/>
    <w:rsid w:val="00273020"/>
    <w:rsid w:val="00280C55"/>
    <w:rsid w:val="00281D05"/>
    <w:rsid w:val="00283180"/>
    <w:rsid w:val="002A17BD"/>
    <w:rsid w:val="002C5BC0"/>
    <w:rsid w:val="002C77F7"/>
    <w:rsid w:val="002E2D7E"/>
    <w:rsid w:val="002F3B3A"/>
    <w:rsid w:val="0031606A"/>
    <w:rsid w:val="003211D5"/>
    <w:rsid w:val="00321515"/>
    <w:rsid w:val="003345D2"/>
    <w:rsid w:val="00335D85"/>
    <w:rsid w:val="003364CB"/>
    <w:rsid w:val="0034416F"/>
    <w:rsid w:val="003554B9"/>
    <w:rsid w:val="00361F83"/>
    <w:rsid w:val="00363E4C"/>
    <w:rsid w:val="00367FD8"/>
    <w:rsid w:val="0037236B"/>
    <w:rsid w:val="003758A1"/>
    <w:rsid w:val="00376987"/>
    <w:rsid w:val="0038021D"/>
    <w:rsid w:val="00384D80"/>
    <w:rsid w:val="00394306"/>
    <w:rsid w:val="00394FCD"/>
    <w:rsid w:val="003A540E"/>
    <w:rsid w:val="003C099B"/>
    <w:rsid w:val="003C4B8B"/>
    <w:rsid w:val="003D6DD0"/>
    <w:rsid w:val="003E4730"/>
    <w:rsid w:val="003E6135"/>
    <w:rsid w:val="0040028C"/>
    <w:rsid w:val="00413C87"/>
    <w:rsid w:val="00416F19"/>
    <w:rsid w:val="004277BB"/>
    <w:rsid w:val="0043174E"/>
    <w:rsid w:val="00454022"/>
    <w:rsid w:val="004572B9"/>
    <w:rsid w:val="00464776"/>
    <w:rsid w:val="00466B97"/>
    <w:rsid w:val="00475024"/>
    <w:rsid w:val="00485B55"/>
    <w:rsid w:val="00491772"/>
    <w:rsid w:val="00496086"/>
    <w:rsid w:val="004A1BF7"/>
    <w:rsid w:val="004B14DC"/>
    <w:rsid w:val="004D7B4E"/>
    <w:rsid w:val="004E35D9"/>
    <w:rsid w:val="004E4002"/>
    <w:rsid w:val="004E7326"/>
    <w:rsid w:val="004F29B5"/>
    <w:rsid w:val="00506A0F"/>
    <w:rsid w:val="00513CF5"/>
    <w:rsid w:val="00517AEC"/>
    <w:rsid w:val="00534AC2"/>
    <w:rsid w:val="0053533C"/>
    <w:rsid w:val="00547250"/>
    <w:rsid w:val="00571450"/>
    <w:rsid w:val="00576C1B"/>
    <w:rsid w:val="00582EFE"/>
    <w:rsid w:val="00584186"/>
    <w:rsid w:val="005969BD"/>
    <w:rsid w:val="00597F55"/>
    <w:rsid w:val="005A0824"/>
    <w:rsid w:val="005B35D2"/>
    <w:rsid w:val="005C1135"/>
    <w:rsid w:val="005C3C1C"/>
    <w:rsid w:val="005D4762"/>
    <w:rsid w:val="005D5115"/>
    <w:rsid w:val="005D5B71"/>
    <w:rsid w:val="005E0267"/>
    <w:rsid w:val="005E4DDF"/>
    <w:rsid w:val="0060510D"/>
    <w:rsid w:val="00631AC8"/>
    <w:rsid w:val="00650BAD"/>
    <w:rsid w:val="006753A5"/>
    <w:rsid w:val="006929AA"/>
    <w:rsid w:val="00693248"/>
    <w:rsid w:val="006A4708"/>
    <w:rsid w:val="006B7581"/>
    <w:rsid w:val="006D7C78"/>
    <w:rsid w:val="006E168C"/>
    <w:rsid w:val="006E1750"/>
    <w:rsid w:val="00700365"/>
    <w:rsid w:val="00712BCC"/>
    <w:rsid w:val="00715B26"/>
    <w:rsid w:val="0072724E"/>
    <w:rsid w:val="00727D17"/>
    <w:rsid w:val="00743A28"/>
    <w:rsid w:val="00753713"/>
    <w:rsid w:val="00753960"/>
    <w:rsid w:val="007559F0"/>
    <w:rsid w:val="007622CF"/>
    <w:rsid w:val="00774521"/>
    <w:rsid w:val="0077785A"/>
    <w:rsid w:val="00777CC3"/>
    <w:rsid w:val="00780C61"/>
    <w:rsid w:val="00782B6B"/>
    <w:rsid w:val="00791F8E"/>
    <w:rsid w:val="007B0404"/>
    <w:rsid w:val="007B2129"/>
    <w:rsid w:val="007B6ECD"/>
    <w:rsid w:val="007C7019"/>
    <w:rsid w:val="007D0FA7"/>
    <w:rsid w:val="007D58E2"/>
    <w:rsid w:val="007E0839"/>
    <w:rsid w:val="007F2D2B"/>
    <w:rsid w:val="007F4793"/>
    <w:rsid w:val="007F5903"/>
    <w:rsid w:val="008109E3"/>
    <w:rsid w:val="00812AC4"/>
    <w:rsid w:val="0081321D"/>
    <w:rsid w:val="008225F0"/>
    <w:rsid w:val="00824D93"/>
    <w:rsid w:val="00860575"/>
    <w:rsid w:val="008622DA"/>
    <w:rsid w:val="00867A37"/>
    <w:rsid w:val="0087231C"/>
    <w:rsid w:val="00873B68"/>
    <w:rsid w:val="00875978"/>
    <w:rsid w:val="00887749"/>
    <w:rsid w:val="00894AC2"/>
    <w:rsid w:val="00895639"/>
    <w:rsid w:val="008A3FEF"/>
    <w:rsid w:val="008C0815"/>
    <w:rsid w:val="008D7272"/>
    <w:rsid w:val="008D7A0D"/>
    <w:rsid w:val="008E6065"/>
    <w:rsid w:val="008F0975"/>
    <w:rsid w:val="00901265"/>
    <w:rsid w:val="0090302B"/>
    <w:rsid w:val="00904DF9"/>
    <w:rsid w:val="00915F5E"/>
    <w:rsid w:val="0093034D"/>
    <w:rsid w:val="00940F3E"/>
    <w:rsid w:val="00941E54"/>
    <w:rsid w:val="009530A9"/>
    <w:rsid w:val="00953CE0"/>
    <w:rsid w:val="0095618D"/>
    <w:rsid w:val="00973B0E"/>
    <w:rsid w:val="00981645"/>
    <w:rsid w:val="0098205D"/>
    <w:rsid w:val="0098413F"/>
    <w:rsid w:val="00995616"/>
    <w:rsid w:val="009A20D7"/>
    <w:rsid w:val="009A2107"/>
    <w:rsid w:val="009A637A"/>
    <w:rsid w:val="009B0026"/>
    <w:rsid w:val="009B7CF4"/>
    <w:rsid w:val="009D3E9F"/>
    <w:rsid w:val="009F06AA"/>
    <w:rsid w:val="009F6850"/>
    <w:rsid w:val="00A03723"/>
    <w:rsid w:val="00A039FE"/>
    <w:rsid w:val="00A24307"/>
    <w:rsid w:val="00A26562"/>
    <w:rsid w:val="00A354A6"/>
    <w:rsid w:val="00A42C12"/>
    <w:rsid w:val="00A46762"/>
    <w:rsid w:val="00A529CB"/>
    <w:rsid w:val="00A800D8"/>
    <w:rsid w:val="00A901FE"/>
    <w:rsid w:val="00A94977"/>
    <w:rsid w:val="00A959CF"/>
    <w:rsid w:val="00AA12FA"/>
    <w:rsid w:val="00AB1744"/>
    <w:rsid w:val="00AC5719"/>
    <w:rsid w:val="00AC5BA3"/>
    <w:rsid w:val="00AE037C"/>
    <w:rsid w:val="00AE5C39"/>
    <w:rsid w:val="00AE723F"/>
    <w:rsid w:val="00AF1AFF"/>
    <w:rsid w:val="00AF36F3"/>
    <w:rsid w:val="00B0060C"/>
    <w:rsid w:val="00B14CBB"/>
    <w:rsid w:val="00B21DBA"/>
    <w:rsid w:val="00B222A2"/>
    <w:rsid w:val="00B24381"/>
    <w:rsid w:val="00B27CCF"/>
    <w:rsid w:val="00B30CCD"/>
    <w:rsid w:val="00B3343B"/>
    <w:rsid w:val="00B33F0D"/>
    <w:rsid w:val="00B53000"/>
    <w:rsid w:val="00B709DD"/>
    <w:rsid w:val="00B77D4F"/>
    <w:rsid w:val="00B807F4"/>
    <w:rsid w:val="00B809FE"/>
    <w:rsid w:val="00B81C58"/>
    <w:rsid w:val="00B95D4D"/>
    <w:rsid w:val="00BB10B0"/>
    <w:rsid w:val="00BC4431"/>
    <w:rsid w:val="00BC6CCA"/>
    <w:rsid w:val="00BC79C7"/>
    <w:rsid w:val="00BC7CC9"/>
    <w:rsid w:val="00BD6448"/>
    <w:rsid w:val="00BE308A"/>
    <w:rsid w:val="00BE37C0"/>
    <w:rsid w:val="00BE3D94"/>
    <w:rsid w:val="00C03D8D"/>
    <w:rsid w:val="00C142A3"/>
    <w:rsid w:val="00C21802"/>
    <w:rsid w:val="00C2378E"/>
    <w:rsid w:val="00C309B2"/>
    <w:rsid w:val="00C412E4"/>
    <w:rsid w:val="00C427CD"/>
    <w:rsid w:val="00C66509"/>
    <w:rsid w:val="00C90C73"/>
    <w:rsid w:val="00CA253B"/>
    <w:rsid w:val="00CA69D9"/>
    <w:rsid w:val="00CB35B6"/>
    <w:rsid w:val="00CC004C"/>
    <w:rsid w:val="00CC265E"/>
    <w:rsid w:val="00CD1C95"/>
    <w:rsid w:val="00CD3379"/>
    <w:rsid w:val="00CD71CA"/>
    <w:rsid w:val="00CE3407"/>
    <w:rsid w:val="00CF45B9"/>
    <w:rsid w:val="00D1052E"/>
    <w:rsid w:val="00D3371D"/>
    <w:rsid w:val="00D344EC"/>
    <w:rsid w:val="00D46FD5"/>
    <w:rsid w:val="00D506F3"/>
    <w:rsid w:val="00D545BE"/>
    <w:rsid w:val="00D700CE"/>
    <w:rsid w:val="00D71C05"/>
    <w:rsid w:val="00D84F2B"/>
    <w:rsid w:val="00D876C6"/>
    <w:rsid w:val="00D936BC"/>
    <w:rsid w:val="00DA6638"/>
    <w:rsid w:val="00DC1525"/>
    <w:rsid w:val="00DC1A25"/>
    <w:rsid w:val="00DD33E3"/>
    <w:rsid w:val="00DD3718"/>
    <w:rsid w:val="00DE525C"/>
    <w:rsid w:val="00E041E7"/>
    <w:rsid w:val="00E30543"/>
    <w:rsid w:val="00E4045B"/>
    <w:rsid w:val="00E67A1D"/>
    <w:rsid w:val="00E71354"/>
    <w:rsid w:val="00E72142"/>
    <w:rsid w:val="00E94DC4"/>
    <w:rsid w:val="00EA5AE1"/>
    <w:rsid w:val="00EB5F5A"/>
    <w:rsid w:val="00EC7442"/>
    <w:rsid w:val="00EE09BE"/>
    <w:rsid w:val="00F07395"/>
    <w:rsid w:val="00F135B8"/>
    <w:rsid w:val="00F1543D"/>
    <w:rsid w:val="00F349B5"/>
    <w:rsid w:val="00F352F6"/>
    <w:rsid w:val="00F35FAD"/>
    <w:rsid w:val="00F365E9"/>
    <w:rsid w:val="00F56499"/>
    <w:rsid w:val="00F613D0"/>
    <w:rsid w:val="00F668A0"/>
    <w:rsid w:val="00F67A83"/>
    <w:rsid w:val="00FA0A89"/>
    <w:rsid w:val="00FA130E"/>
    <w:rsid w:val="00FB101D"/>
    <w:rsid w:val="00FB6599"/>
    <w:rsid w:val="00FD4184"/>
    <w:rsid w:val="00FD5D26"/>
    <w:rsid w:val="00FF057E"/>
    <w:rsid w:val="00FF0D83"/>
    <w:rsid w:val="00FF6A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30063C4"/>
  <w15:chartTrackingRefBased/>
  <w15:docId w15:val="{3C6BB715-2295-FF4D-9A59-172E1781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2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2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2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2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D2B"/>
    <w:rPr>
      <w:rFonts w:eastAsiaTheme="majorEastAsia" w:cstheme="majorBidi"/>
      <w:color w:val="272727" w:themeColor="text1" w:themeTint="D8"/>
    </w:rPr>
  </w:style>
  <w:style w:type="paragraph" w:styleId="Title">
    <w:name w:val="Title"/>
    <w:basedOn w:val="Normal"/>
    <w:next w:val="Normal"/>
    <w:link w:val="TitleChar"/>
    <w:uiPriority w:val="10"/>
    <w:qFormat/>
    <w:rsid w:val="007F2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D2B"/>
    <w:pPr>
      <w:spacing w:before="160"/>
      <w:jc w:val="center"/>
    </w:pPr>
    <w:rPr>
      <w:i/>
      <w:iCs/>
      <w:color w:val="404040" w:themeColor="text1" w:themeTint="BF"/>
    </w:rPr>
  </w:style>
  <w:style w:type="character" w:customStyle="1" w:styleId="QuoteChar">
    <w:name w:val="Quote Char"/>
    <w:basedOn w:val="DefaultParagraphFont"/>
    <w:link w:val="Quote"/>
    <w:uiPriority w:val="29"/>
    <w:rsid w:val="007F2D2B"/>
    <w:rPr>
      <w:i/>
      <w:iCs/>
      <w:color w:val="404040" w:themeColor="text1" w:themeTint="BF"/>
    </w:rPr>
  </w:style>
  <w:style w:type="paragraph" w:styleId="ListParagraph">
    <w:name w:val="List Paragraph"/>
    <w:basedOn w:val="Normal"/>
    <w:uiPriority w:val="34"/>
    <w:qFormat/>
    <w:rsid w:val="007F2D2B"/>
    <w:pPr>
      <w:ind w:left="720"/>
      <w:contextualSpacing/>
    </w:pPr>
  </w:style>
  <w:style w:type="character" w:styleId="IntenseEmphasis">
    <w:name w:val="Intense Emphasis"/>
    <w:basedOn w:val="DefaultParagraphFont"/>
    <w:uiPriority w:val="21"/>
    <w:qFormat/>
    <w:rsid w:val="007F2D2B"/>
    <w:rPr>
      <w:i/>
      <w:iCs/>
      <w:color w:val="0F4761" w:themeColor="accent1" w:themeShade="BF"/>
    </w:rPr>
  </w:style>
  <w:style w:type="paragraph" w:styleId="IntenseQuote">
    <w:name w:val="Intense Quote"/>
    <w:basedOn w:val="Normal"/>
    <w:next w:val="Normal"/>
    <w:link w:val="IntenseQuoteChar"/>
    <w:uiPriority w:val="30"/>
    <w:qFormat/>
    <w:rsid w:val="007F2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D2B"/>
    <w:rPr>
      <w:i/>
      <w:iCs/>
      <w:color w:val="0F4761" w:themeColor="accent1" w:themeShade="BF"/>
    </w:rPr>
  </w:style>
  <w:style w:type="character" w:styleId="IntenseReference">
    <w:name w:val="Intense Reference"/>
    <w:basedOn w:val="DefaultParagraphFont"/>
    <w:uiPriority w:val="32"/>
    <w:qFormat/>
    <w:rsid w:val="007F2D2B"/>
    <w:rPr>
      <w:b/>
      <w:bCs/>
      <w:smallCaps/>
      <w:color w:val="0F4761" w:themeColor="accent1" w:themeShade="BF"/>
      <w:spacing w:val="5"/>
    </w:rPr>
  </w:style>
  <w:style w:type="character" w:styleId="LineNumber">
    <w:name w:val="line number"/>
    <w:basedOn w:val="DefaultParagraphFont"/>
    <w:uiPriority w:val="99"/>
    <w:semiHidden/>
    <w:unhideWhenUsed/>
    <w:rsid w:val="007F2D2B"/>
  </w:style>
  <w:style w:type="paragraph" w:styleId="BodyText">
    <w:name w:val="Body Text"/>
    <w:basedOn w:val="Normal"/>
    <w:link w:val="BodyTextChar"/>
    <w:qFormat/>
    <w:rsid w:val="007F2D2B"/>
    <w:pPr>
      <w:spacing w:before="180" w:after="180" w:line="480" w:lineRule="auto"/>
    </w:pPr>
    <w:rPr>
      <w:rFonts w:ascii="Times New Roman" w:hAnsi="Times New Roman"/>
      <w:kern w:val="0"/>
      <w:lang w:val="en-US"/>
      <w14:ligatures w14:val="none"/>
    </w:rPr>
  </w:style>
  <w:style w:type="character" w:customStyle="1" w:styleId="BodyTextChar">
    <w:name w:val="Body Text Char"/>
    <w:basedOn w:val="DefaultParagraphFont"/>
    <w:link w:val="BodyText"/>
    <w:rsid w:val="007F2D2B"/>
    <w:rPr>
      <w:rFonts w:ascii="Times New Roman" w:hAnsi="Times New Roman"/>
      <w:kern w:val="0"/>
      <w:lang w:val="en-US"/>
      <w14:ligatures w14:val="none"/>
    </w:rPr>
  </w:style>
  <w:style w:type="paragraph" w:customStyle="1" w:styleId="FirstParagraph">
    <w:name w:val="First Paragraph"/>
    <w:basedOn w:val="BodyText"/>
    <w:next w:val="BodyText"/>
    <w:qFormat/>
    <w:rsid w:val="007F2D2B"/>
  </w:style>
  <w:style w:type="character" w:styleId="Hyperlink">
    <w:name w:val="Hyperlink"/>
    <w:basedOn w:val="DefaultParagraphFont"/>
    <w:rsid w:val="007F2D2B"/>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821</Words>
  <Characters>4665</Characters>
  <Application>Microsoft Office Word</Application>
  <DocSecurity>0</DocSecurity>
  <Lines>66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Clint Dale</dc:creator>
  <cp:keywords/>
  <dc:description/>
  <cp:lastModifiedBy>Kelly, Clint Dale</cp:lastModifiedBy>
  <cp:revision>1</cp:revision>
  <dcterms:created xsi:type="dcterms:W3CDTF">2026-02-18T20:25:00Z</dcterms:created>
  <dcterms:modified xsi:type="dcterms:W3CDTF">2026-02-18T20:35:00Z</dcterms:modified>
</cp:coreProperties>
</file>