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DB98F" w14:textId="77777777" w:rsidR="00931EE5" w:rsidRDefault="001C5E67">
      <w:pPr>
        <w:pStyle w:val="Title"/>
      </w:pPr>
      <w:r>
        <w:t>Residual correlation shows that European earwigs do not trade off clutch and egg size.</w:t>
      </w:r>
    </w:p>
    <w:p w14:paraId="71149403" w14:textId="77777777" w:rsidR="00931EE5" w:rsidRDefault="001C5E67">
      <w:pPr>
        <w:pStyle w:val="Author"/>
      </w:pPr>
      <w:r>
        <w:t>Clint D. Kelly</w:t>
      </w:r>
      <w:r>
        <w:rPr>
          <w:vertAlign w:val="superscript"/>
        </w:rPr>
        <w:t>1,✉</w:t>
      </w:r>
    </w:p>
    <w:p w14:paraId="3D7F3B0A" w14:textId="77777777" w:rsidR="00931EE5" w:rsidRDefault="001C5E67">
      <w:pPr>
        <w:pStyle w:val="FirstParagraph"/>
      </w:pPr>
      <w:r>
        <w:rPr>
          <w:vertAlign w:val="superscript"/>
        </w:rPr>
        <w:t>1</w:t>
      </w:r>
      <w:r>
        <w:t xml:space="preserve"> </w:t>
      </w:r>
      <w:r>
        <w:t>Département des Sciences biologiques, Université du Québec à Montréal, Montréal, Canada</w:t>
      </w:r>
    </w:p>
    <w:p w14:paraId="5508C387" w14:textId="77777777" w:rsidR="00931EE5" w:rsidRDefault="001C5E67">
      <w:pPr>
        <w:pStyle w:val="BodyText"/>
      </w:pPr>
      <w:r>
        <w:rPr>
          <w:vertAlign w:val="superscript"/>
        </w:rPr>
        <w:t>✉</w:t>
      </w:r>
      <w:r>
        <w:t xml:space="preserve"> Correspondence: </w:t>
      </w:r>
      <w:hyperlink r:id="rId7">
        <w:r>
          <w:rPr>
            <w:rStyle w:val="Hyperlink"/>
          </w:rPr>
          <w:t>Clint D. Kelly &lt;kelly.clint@uqam.ca&gt;</w:t>
        </w:r>
      </w:hyperlink>
    </w:p>
    <w:p w14:paraId="4C41E42A" w14:textId="77777777" w:rsidR="00931EE5" w:rsidRDefault="001C5E67">
      <w:r>
        <w:br w:type="page"/>
      </w:r>
    </w:p>
    <w:p w14:paraId="16DAFC19" w14:textId="77777777" w:rsidR="00931EE5" w:rsidRDefault="001C5E67">
      <w:pPr>
        <w:pStyle w:val="Heading1"/>
      </w:pPr>
      <w:bookmarkStart w:id="0" w:name="abstract"/>
      <w:r>
        <w:lastRenderedPageBreak/>
        <w:t>Abstract</w:t>
      </w:r>
    </w:p>
    <w:p w14:paraId="6A060094" w14:textId="77777777" w:rsidR="00931EE5" w:rsidRDefault="001C5E67">
      <w:pPr>
        <w:pStyle w:val="FirstParagraph"/>
      </w:pPr>
      <w:r>
        <w:t>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w:t>
      </w:r>
      <w:r>
        <w:t>el to decompose the phenotypic correlation between egg number and size in European earwigs (</w:t>
      </w:r>
      <w:r>
        <w:rPr>
          <w:i/>
          <w:iCs/>
        </w:rPr>
        <w:t>Forficula auricularia</w:t>
      </w:r>
      <w:r>
        <w:t>)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w:t>
      </w:r>
      <w:r>
        <w:t>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14:paraId="03512222" w14:textId="77777777" w:rsidR="00931EE5" w:rsidRDefault="001C5E67">
      <w:r>
        <w:br w:type="page"/>
      </w:r>
    </w:p>
    <w:p w14:paraId="5A972933" w14:textId="77777777" w:rsidR="00931EE5" w:rsidRDefault="001C5E67">
      <w:pPr>
        <w:pStyle w:val="Heading1"/>
      </w:pPr>
      <w:bookmarkStart w:id="1" w:name="introduction"/>
      <w:bookmarkEnd w:id="0"/>
      <w:r>
        <w:lastRenderedPageBreak/>
        <w:t>Introduction</w:t>
      </w:r>
    </w:p>
    <w:p w14:paraId="741461DE" w14:textId="77777777" w:rsidR="00931EE5" w:rsidRDefault="001C5E67">
      <w:pPr>
        <w:pStyle w:val="FirstParagraph"/>
      </w:pPr>
      <w:r>
        <w:t>Maternal investment is allocated between offspring fitness and quantity, with larger eggs generally enhancing offspring fitness (Clutton-Brock 1991). A limited pool of reproductive resources, therefore, requires females to balance investment between the number and quality of eggs produced during a reproductive cycle (Smith and Fretwell 1974; Roff 1992; Fox and Czesak 2000; see also Parker 1982). However, these traits do not always trade off against each other (Roff 1992; Stearns 1992; Bernardo 1996; Fox and</w:t>
      </w:r>
      <w:r>
        <w:t xml:space="preserve"> Czesak 2000; Hargitai et al. 2005; Cavaleiro and Santos 2014). Or at least, they do not appear to trade off. Positive correlations between traits that should otherwise covary negatively could be due to how individuals acquire resources and subsequently allocate them among competing traits (Reznick et al. 2000). Van Noordwijk and DeJong (1986; see also Reznick et al. 2000) explained that whether we observe positive or negative correlations between fitness-related traits (e.g., egg number or egg size) depend</w:t>
      </w:r>
      <w:r>
        <w:t>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 (i.e. Simpson’s Paradox, Simpson 1951), assuming that all individuals follow a similar allocation strategy.</w:t>
      </w:r>
      <w:r>
        <w:t xml:space="preserve"> This means that females that acquire more reproductive resources can produce more and larger eggs, but must nevertheless trade off size and number.</w:t>
      </w:r>
    </w:p>
    <w:p w14:paraId="4CFB7869" w14:textId="77777777" w:rsidR="00931EE5" w:rsidRDefault="001C5E67">
      <w:pPr>
        <w:pStyle w:val="BodyText"/>
      </w:pPr>
      <w:r>
        <w:t xml:space="preserve">Careau and Wilson (2017) argue that revealing a trade-off when contrasting processes occur at the among- and within-individual levels requires partitioning the phenotypic correlation between two competing traits into its among- and within-individual components. This can be achieved by </w:t>
      </w:r>
      <w:r>
        <w:lastRenderedPageBreak/>
        <w:t>repeatedly measuring traits of interest (i.e. egg number and size) for a group of individuals and then using multivariate mixed models to estimate the among- and within-individual correlations. To my knowledge, no study has yet adopted this approach to show that females indeed trade off egg number and size, despite these traits positively correlating across a population of females. I use the approach of Careau and Wilson (2017) here to test the hypothesis that European earwigs (</w:t>
      </w:r>
      <w:r>
        <w:rPr>
          <w:i/>
          <w:iCs/>
        </w:rPr>
        <w:t>Forficula auricularia</w:t>
      </w:r>
      <w:r>
        <w:t xml:space="preserve">) trade </w:t>
      </w:r>
      <w:r>
        <w:t xml:space="preserve">off clutch and egg size. </w:t>
      </w:r>
      <w:r>
        <w:rPr>
          <w:i/>
          <w:iCs/>
        </w:rPr>
        <w:t>F. auricularia</w:t>
      </w:r>
      <w:r>
        <w:t xml:space="preserve"> is an ideal insect for testing this hypothesis because females lay a single clutch of eggs in a subterranean burrow within a short period of time (i.e. hours) (Meunier 2024). Females care for eggs and the nymphs for up to 2 weeks post-hatching (Staerkle and Kölliker 2008; Meunier 2024). Earwigs in Quebec, Canada, are semelparous because the harsh environmental conditions extend the incubation and egg-care period beyond the point at which a second clutch is possible (T</w:t>
      </w:r>
      <w:r>
        <w:t>ourneur 2018).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w:t>
      </w:r>
      <w:r>
        <w:t xml:space="preserve"> to test whether fitness gains are optimised at a specific egg quantity or quality (e.g., Smith and Fretwell 1974). If so, one trait should not differ between clutches (e.g., egg number), whereas the other (e.g., egg size) is adjusted accordingly (Winkler and Wallin 1987). Alternatively, females laying a second clutch may recognise their low residual reproductive value and, consequently, terminally invest in current reproduction by producing either more or larger eggs in this clutch </w:t>
      </w:r>
      <w:r>
        <w:lastRenderedPageBreak/>
        <w:t>(Clutton-Brock 1984). Fi</w:t>
      </w:r>
      <w:r>
        <w:t>nally, I explore whether eggs in first and second clutches differ in their size variation at the among- and within-female (clutch) levels (e.g. Hargitai et al. 2005).</w:t>
      </w:r>
    </w:p>
    <w:p w14:paraId="66472A3C" w14:textId="77777777" w:rsidR="00931EE5" w:rsidRDefault="001C5E67">
      <w:pPr>
        <w:pStyle w:val="Heading1"/>
      </w:pPr>
      <w:bookmarkStart w:id="2" w:name="methods"/>
      <w:bookmarkEnd w:id="1"/>
      <w:r>
        <w:t>Methods</w:t>
      </w:r>
    </w:p>
    <w:p w14:paraId="532C34AF" w14:textId="77777777" w:rsidR="00931EE5" w:rsidRDefault="001C5E67">
      <w:pPr>
        <w:pStyle w:val="FirstParagraph"/>
      </w:pPr>
      <w:r>
        <w:t>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14:paraId="61EE0533" w14:textId="77777777" w:rsidR="00931EE5" w:rsidRDefault="001C5E67">
      <w:pPr>
        <w:pStyle w:val="BodyText"/>
      </w:pPr>
      <w:r>
        <w:t>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14:paraId="034A5763" w14:textId="77777777" w:rsidR="00931EE5" w:rsidRDefault="001C5E67">
      <w:pPr>
        <w:pStyle w:val="BodyText"/>
      </w:pPr>
      <w:r>
        <w:t>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w:t>
      </w:r>
      <w:r>
        <w:t xml:space="preserve">th a 12L:12D light: dark cycle. Females were maintained under these conditions for two weeks, at which time a haphazardly chosen stock male from our </w:t>
      </w:r>
      <w:r>
        <w:lastRenderedPageBreak/>
        <w:t>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w:t>
      </w:r>
      <w:r>
        <w:t>reezing after laying their second clutch, and their pronotum was photographed as described above. Females were then weighed to the nearest 0.01 mg using a Sartorius Secura 224-1S analytical balance. Females were weighed three times, with each weighing bout separated by four days. I used Fiji image analysis software (Schindelin et al. 2012) to measure the length of the female pronotum and the perimeter of each egg to the nearest 0.001 mm. Both traits were measured three times, with each measurement separated</w:t>
      </w:r>
      <w:r>
        <w:t xml:space="preserve"> by 4 days.</w:t>
      </w:r>
    </w:p>
    <w:p w14:paraId="56072CFB" w14:textId="77777777" w:rsidR="00931EE5" w:rsidRDefault="001C5E67">
      <w:pPr>
        <w:pStyle w:val="Heading3"/>
      </w:pPr>
      <w:bookmarkStart w:id="3" w:name="statistical-analysis"/>
      <w:r>
        <w:t>Statistical analysis</w:t>
      </w:r>
    </w:p>
    <w:p w14:paraId="6C5585FB" w14:textId="77777777" w:rsidR="00931EE5" w:rsidRDefault="001C5E67">
      <w:pPr>
        <w:pStyle w:val="FirstParagraph"/>
      </w:pPr>
      <w:r>
        <w:t xml:space="preserve">I calculated the repeatability of the body mass, pronotum length and egg perimeter measurements using the R package </w:t>
      </w:r>
      <w:r>
        <w:rPr>
          <w:i/>
          <w:iCs/>
        </w:rPr>
        <w:t>rptR</w:t>
      </w:r>
      <w:r>
        <w:t xml:space="preserve"> (Stoffel et al. 2017). I entered the trait of interest as the response variable, female ID as a random effect, and assumed a Gaussian distribution. Each analysis was based on 1000 bootstrap samples. The measurements of my two morphological traits were highly repeatable (pronotum length: </w:t>
      </w:r>
      <w:r>
        <w:rPr>
          <w:i/>
          <w:iCs/>
        </w:rPr>
        <w:t>R</w:t>
      </w:r>
      <w:r>
        <w:t xml:space="preserve"> [95% CI] = 0.98 [0.97, 0.99]; body mass: </w:t>
      </w:r>
      <w:r>
        <w:rPr>
          <w:i/>
          <w:iCs/>
        </w:rPr>
        <w:t>R</w:t>
      </w:r>
      <w:r>
        <w:t xml:space="preserve"> [95% CI] = 0.99 [0.988, 0.996]); therefore, I used each female’s mean value for each trait where necessary. Because egg perimeter was highly repeatable in both clutches (firs</w:t>
      </w:r>
      <w:r>
        <w:t xml:space="preserve">t clutch: </w:t>
      </w:r>
      <w:r>
        <w:rPr>
          <w:i/>
          <w:iCs/>
        </w:rPr>
        <w:t>R</w:t>
      </w:r>
      <w:r>
        <w:t xml:space="preserve"> [95% CI] = 0.977 [0.976, 0.979]; second clutch: </w:t>
      </w:r>
      <w:r>
        <w:rPr>
          <w:i/>
          <w:iCs/>
        </w:rPr>
        <w:t>R</w:t>
      </w:r>
      <w:r>
        <w:t xml:space="preserve"> [95% CI] = 0.93 [0.926, 0.937] ), I calculated each egg’s average perimeter and then used these values to calculate the mean egg size for each clutch for each female. I reduced the two measurements representing body size (pronotum length and body mass) to a single value (PC1) by performing a principal components analysis (PCA) on the correlation </w:t>
      </w:r>
      <w:r>
        <w:lastRenderedPageBreak/>
        <w:t xml:space="preserve">matrix of standardized measurements using the </w:t>
      </w:r>
      <w:r>
        <w:rPr>
          <w:i/>
          <w:iCs/>
        </w:rPr>
        <w:t>prcomp</w:t>
      </w:r>
      <w:r>
        <w:t xml:space="preserve"> function in the R </w:t>
      </w:r>
      <w:r>
        <w:rPr>
          <w:i/>
          <w:iCs/>
        </w:rPr>
        <w:t>stats</w:t>
      </w:r>
      <w:r>
        <w:t xml:space="preserve"> package (R Core Team 2025</w:t>
      </w:r>
      <w:r>
        <w:t>). The first PC accounted for 60.8% of the variation. I also standardised female body mass relative to structural body size (i.e. pronotum length) using the scaled mass index procedure of Peig and Green (2009, 2010; see also Kelly et al. 2014).</w:t>
      </w:r>
    </w:p>
    <w:p w14:paraId="2801D523" w14:textId="77777777" w:rsidR="00931EE5" w:rsidRDefault="001C5E67">
      <w:pPr>
        <w:pStyle w:val="BodyText"/>
      </w:pPr>
      <w:r>
        <w:t xml:space="preserve">The following analyses were conducted in a Bayesian framework using the </w:t>
      </w:r>
      <w:r>
        <w:rPr>
          <w:i/>
          <w:iCs/>
        </w:rPr>
        <w:t>brms</w:t>
      </w:r>
      <w:r>
        <w:t xml:space="preserve"> package (Bürkner 2017) in R.</w:t>
      </w:r>
    </w:p>
    <w:p w14:paraId="695A6938" w14:textId="77777777" w:rsidR="00931EE5" w:rsidRDefault="001C5E67">
      <w:pPr>
        <w:pStyle w:val="BodyText"/>
      </w:pPr>
      <w:r>
        <w:t>I tested whether egg number and egg size changed across successive clutches by fitting a multivariate Bayesian mixed-effects model including clutch order (first vs. second clutch) as a fixed effect for both traits. Egg size was modelled using a Gaussian distribution with an identity link, whereas egg number was modelled using a Poisson distribution with a log link.</w:t>
      </w:r>
    </w:p>
    <w:p w14:paraId="4C836A73" w14:textId="77777777" w:rsidR="00931EE5" w:rsidRDefault="001C5E67">
      <w:pPr>
        <w:pStyle w:val="BodyText"/>
      </w:pPr>
      <w:r>
        <w:t xml:space="preserve">For female </w:t>
      </w:r>
      <m:oMath>
        <m:r>
          <w:rPr>
            <w:rFonts w:ascii="Cambria Math" w:hAnsi="Cambria Math"/>
          </w:rPr>
          <m:t>i</m:t>
        </m:r>
      </m:oMath>
      <w:r>
        <w:t xml:space="preserve"> and clutch </w:t>
      </w:r>
      <m:oMath>
        <m:r>
          <w:rPr>
            <w:rFonts w:ascii="Cambria Math" w:hAnsi="Cambria Math"/>
          </w:rPr>
          <m:t>j</m:t>
        </m:r>
      </m:oMath>
      <w:r>
        <w:t>, mean egg size and egg number were modelled jointly as:</w:t>
      </w:r>
    </w:p>
    <w:bookmarkStart w:id="4" w:name="eq-clutchorder"/>
    <w:p w14:paraId="6897A733" w14:textId="77777777" w:rsidR="00931EE5" w:rsidRDefault="001C5E67">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MeanEggSize</m:t>
                    </m:r>
                  </m:e>
                  <m:sub>
                    <m:r>
                      <w:rPr>
                        <w:rFonts w:ascii="Cambria Math" w:hAnsi="Cambria Math"/>
                      </w:rPr>
                      <m:t>ij</m:t>
                    </m:r>
                  </m:sub>
                </m:sSub>
              </m:e>
              <m:e>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1</m:t>
                        </m:r>
                        <m:r>
                          <m:rPr>
                            <m:sty m:val="p"/>
                          </m:rPr>
                          <w:rPr>
                            <w:rFonts w:ascii="Cambria Math" w:hAnsi="Cambria Math"/>
                          </w:rPr>
                          <m:t>,</m:t>
                        </m:r>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e>
                </m:d>
              </m:e>
            </m:mr>
            <m:mr>
              <m:e>
                <m:sSub>
                  <m:sSubPr>
                    <m:ctrlPr>
                      <w:rPr>
                        <w:rFonts w:ascii="Cambria Math" w:hAnsi="Cambria Math"/>
                      </w:rPr>
                    </m:ctrlPr>
                  </m:sSubPr>
                  <m:e>
                    <m:r>
                      <w:rPr>
                        <w:rFonts w:ascii="Cambria Math" w:hAnsi="Cambria Math"/>
                      </w:rPr>
                      <m:t>μ</m:t>
                    </m:r>
                  </m:e>
                  <m:sub>
                    <m:r>
                      <w:rPr>
                        <w:rFonts w:ascii="Cambria Math" w:hAnsi="Cambria Math"/>
                      </w:rPr>
                      <m:t>1</m:t>
                    </m:r>
                    <m:r>
                      <m:rPr>
                        <m:sty m:val="p"/>
                      </m:rPr>
                      <w:rPr>
                        <w:rFonts w:ascii="Cambria Math" w:hAnsi="Cambria Math"/>
                      </w:rPr>
                      <m:t>,</m:t>
                    </m:r>
                    <m:r>
                      <w:rPr>
                        <w:rFonts w:ascii="Cambria Math" w:hAnsi="Cambria Math"/>
                      </w:rPr>
                      <m:t>ij</m:t>
                    </m:r>
                  </m:sub>
                </m:sSub>
              </m:e>
              <m:e>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r>
                      <m:rPr>
                        <m:sty m:val="p"/>
                      </m:rPr>
                      <w:rPr>
                        <w:rFonts w:ascii="Cambria Math" w:hAnsi="Cambria Math"/>
                      </w:rPr>
                      <m:t>,</m:t>
                    </m:r>
                    <m:r>
                      <m:rPr>
                        <m:nor/>
                      </m:rPr>
                      <m:t>brood</m:t>
                    </m:r>
                  </m:sub>
                </m:sSub>
                <m:r>
                  <w:rPr>
                    <w:rFonts w:ascii="Cambria Math" w:hAnsi="Cambria Math"/>
                  </w:rPr>
                  <m:t> </m:t>
                </m:r>
                <m:sSub>
                  <m:sSubPr>
                    <m:ctrlPr>
                      <w:rPr>
                        <w:rFonts w:ascii="Cambria Math" w:hAnsi="Cambria Math"/>
                      </w:rPr>
                    </m:ctrlPr>
                  </m:sSubPr>
                  <m:e>
                    <m:r>
                      <m:rPr>
                        <m:nor/>
                      </m:rPr>
                      <m:t>Brood</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e>
            </m:mr>
            <m:mr>
              <m:e/>
              <m:e/>
            </m:mr>
            <m:mr>
              <m:e>
                <m:sSub>
                  <m:sSubPr>
                    <m:ctrlPr>
                      <w:rPr>
                        <w:rFonts w:ascii="Cambria Math" w:hAnsi="Cambria Math"/>
                      </w:rPr>
                    </m:ctrlPr>
                  </m:sSubPr>
                  <m:e>
                    <m:r>
                      <m:rPr>
                        <m:nor/>
                      </m:rPr>
                      <m:t>EggNumber</m:t>
                    </m:r>
                  </m:e>
                  <m:sub>
                    <m:r>
                      <w:rPr>
                        <w:rFonts w:ascii="Cambria Math" w:hAnsi="Cambria Math"/>
                      </w:rPr>
                      <m:t>ij</m:t>
                    </m:r>
                  </m:sub>
                </m:sSub>
              </m:e>
              <m:e>
                <m:r>
                  <m:rPr>
                    <m:sty m:val="p"/>
                  </m:rPr>
                  <w:rPr>
                    <w:rFonts w:ascii="Cambria Math" w:hAnsi="Cambria Math"/>
                  </w:rPr>
                  <m:t>∼</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ij</m:t>
                        </m:r>
                      </m:sub>
                    </m:sSub>
                  </m:e>
                </m:d>
              </m:e>
            </m:mr>
            <m:mr>
              <m:e>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ij</m:t>
                        </m:r>
                      </m:sub>
                    </m:sSub>
                  </m:e>
                </m:d>
              </m:e>
              <m:e>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r>
                      <m:rPr>
                        <m:sty m:val="p"/>
                      </m:rPr>
                      <w:rPr>
                        <w:rFonts w:ascii="Cambria Math" w:hAnsi="Cambria Math"/>
                      </w:rPr>
                      <m:t>,</m:t>
                    </m:r>
                    <m:r>
                      <m:rPr>
                        <m:nor/>
                      </m:rPr>
                      <m:t>brood</m:t>
                    </m:r>
                  </m:sub>
                </m:sSub>
                <m:r>
                  <w:rPr>
                    <w:rFonts w:ascii="Cambria Math" w:hAnsi="Cambria Math"/>
                  </w:rPr>
                  <m:t> </m:t>
                </m:r>
                <m:sSub>
                  <m:sSubPr>
                    <m:ctrlPr>
                      <w:rPr>
                        <w:rFonts w:ascii="Cambria Math" w:hAnsi="Cambria Math"/>
                      </w:rPr>
                    </m:ctrlPr>
                  </m:sSubPr>
                  <m:e>
                    <m:r>
                      <m:rPr>
                        <m:nor/>
                      </m:rPr>
                      <m:t>Brood</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e>
            </m:mr>
            <m:mr>
              <m:e/>
              <m:e/>
            </m:mr>
            <m:mr>
              <m:e>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e>
                      </m:mr>
                      <m:mr>
                        <m:e>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e>
                      </m:mr>
                    </m:m>
                  </m:e>
                </m:d>
              </m:e>
              <m:e>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b</m:t>
                        </m:r>
                      </m:sub>
                    </m:sSub>
                  </m:e>
                </m:d>
              </m:e>
            </m:mr>
          </m:m>
          <m:r>
            <w:rPr>
              <w:rFonts w:ascii="Cambria Math" w:hAnsi="Cambria Math"/>
            </w:rPr>
            <m:t>  </m:t>
          </m:r>
          <m:d>
            <m:dPr>
              <m:ctrlPr>
                <w:rPr>
                  <w:rFonts w:ascii="Cambria Math" w:hAnsi="Cambria Math"/>
                </w:rPr>
              </m:ctrlPr>
            </m:dPr>
            <m:e>
              <m:r>
                <w:rPr>
                  <w:rFonts w:ascii="Cambria Math" w:hAnsi="Cambria Math"/>
                </w:rPr>
                <m:t>1</m:t>
              </m:r>
            </m:e>
          </m:d>
        </m:oMath>
      </m:oMathPara>
      <w:bookmarkEnd w:id="4"/>
    </w:p>
    <w:p w14:paraId="1CF63F2C" w14:textId="77777777" w:rsidR="00931EE5" w:rsidRDefault="001C5E67">
      <w:pPr>
        <w:pStyle w:val="FirstParagraph"/>
      </w:pPr>
      <w:r>
        <w:t xml:space="preserve">where </w:t>
      </w:r>
      <m:oMath>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oMath>
      <w:r>
        <w:t xml:space="preserve"> are female-specific random intercepts and </w:t>
      </w:r>
      <m:oMath>
        <m:sSub>
          <m:sSubPr>
            <m:ctrlPr>
              <w:rPr>
                <w:rFonts w:ascii="Cambria Math" w:hAnsi="Cambria Math"/>
              </w:rPr>
            </m:ctrlPr>
          </m:sSubPr>
          <m:e>
            <m:r>
              <w:rPr>
                <w:rFonts w:ascii="Cambria Math" w:hAnsi="Cambria Math"/>
              </w:rPr>
              <m:t>Σ</m:t>
            </m:r>
          </m:e>
          <m:sub>
            <m:r>
              <w:rPr>
                <w:rFonts w:ascii="Cambria Math" w:hAnsi="Cambria Math"/>
              </w:rPr>
              <m:t>b</m:t>
            </m:r>
          </m:sub>
        </m:sSub>
      </m:oMath>
      <w:r>
        <w:t xml:space="preserve"> is the female-level variance–covariance matrix. Residual correlations between traits were not estimated (</w:t>
      </w:r>
      <w:r>
        <w:rPr>
          <w:rStyle w:val="VerbatimChar"/>
        </w:rPr>
        <w:t>set_rescor(FALSE)</w:t>
      </w:r>
      <w:r>
        <w:t xml:space="preserve">). Female identity was included as a random effect for both traits to account </w:t>
      </w:r>
      <w:r>
        <w:lastRenderedPageBreak/>
        <w:t>for repeated measures. This model tested whether egg traits systematically differed between first and second clutches while accounting for among-female variation.</w:t>
      </w:r>
    </w:p>
    <w:p w14:paraId="2DE24730" w14:textId="77777777" w:rsidR="00931EE5" w:rsidRDefault="001C5E67">
      <w:pPr>
        <w:pStyle w:val="BodyText"/>
      </w:pPr>
      <w:r>
        <w:t>I first calculated the raw phenotypic association between egg number and egg size across all observations using Pearson’s correlation coefficient (</w:t>
      </w:r>
      <w:r>
        <w:rPr>
          <w:i/>
          <w:iCs/>
        </w:rPr>
        <w:t>r</w:t>
      </w:r>
      <w:r>
        <w:t>). This estimate reflects the overall linear association between traits without accounting for repeated measures or hierarchical structure. To quantify among-female covariation, I calculated the Pearson correlation between female mean egg number and female mean egg size. Female means were calculated across broods. This approach isolates between-female covariance independent of within-female variation. To formally partition covariance into among-female and residual components, I fitted a multivariate mixed-</w:t>
      </w:r>
      <w:r>
        <w:t>effects model in which both traits were modelled as Gaussian responses with female identity included as a random intercept, and residual correlations were estimated (</w:t>
      </w:r>
      <w:r>
        <w:rPr>
          <w:rStyle w:val="VerbatimChar"/>
        </w:rPr>
        <w:t>set_rescor(TRUE)</w:t>
      </w:r>
      <w:r>
        <w:t>).</w:t>
      </w:r>
    </w:p>
    <w:p w14:paraId="5CD1CBDC" w14:textId="77777777" w:rsidR="00931EE5" w:rsidRDefault="001C5E67">
      <w:pPr>
        <w:pStyle w:val="BodyText"/>
      </w:pPr>
      <w:r>
        <w:t>I modelled egg size and egg number jointly as:</w:t>
      </w:r>
    </w:p>
    <w:bookmarkStart w:id="5" w:name="eq-residual"/>
    <w:p w14:paraId="7786A570" w14:textId="77777777" w:rsidR="00931EE5" w:rsidRDefault="001C5E67">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mean_egg_size</m:t>
                    </m:r>
                  </m:e>
                  <m:sub>
                    <m:r>
                      <w:rPr>
                        <w:rFonts w:ascii="Cambria Math" w:hAnsi="Cambria Math"/>
                      </w:rPr>
                      <m:t>ij</m:t>
                    </m:r>
                  </m:sub>
                </m:sSub>
              </m:e>
              <m:e>
                <m:r>
                  <m:rPr>
                    <m:sty m:val="p"/>
                  </m:rPr>
                  <w:rPr>
                    <w:rFonts w:ascii="Cambria Math" w:hAnsi="Cambria Math"/>
                  </w:rPr>
                  <m:t>=</m:t>
                </m:r>
                <m:sSub>
                  <m:sSubPr>
                    <m:ctrlPr>
                      <w:rPr>
                        <w:rFonts w:ascii="Cambria Math" w:hAnsi="Cambria Math"/>
                      </w:rPr>
                    </m:ctrlPr>
                  </m:sSubPr>
                  <m:e>
                    <m:r>
                      <w:rPr>
                        <w:rFonts w:ascii="Cambria Math" w:hAnsi="Cambria Math"/>
                      </w:rPr>
                      <m:t>α</m:t>
                    </m:r>
                  </m:e>
                  <m:sub>
                    <m:r>
                      <m:rPr>
                        <m:nor/>
                      </m:rPr>
                      <m:t>size</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size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m:rPr>
                        <m:nor/>
                      </m:rPr>
                      <m:t>size</m:t>
                    </m:r>
                    <m:r>
                      <m:rPr>
                        <m:sty m:val="p"/>
                      </m:rPr>
                      <w:rPr>
                        <w:rFonts w:ascii="Cambria Math" w:hAnsi="Cambria Math"/>
                      </w:rPr>
                      <m:t>,</m:t>
                    </m:r>
                    <m:r>
                      <w:rPr>
                        <w:rFonts w:ascii="Cambria Math" w:hAnsi="Cambria Math"/>
                      </w:rPr>
                      <m:t>ij</m:t>
                    </m:r>
                  </m:sub>
                </m:sSub>
              </m:e>
            </m:mr>
            <m:mr>
              <m:e>
                <m:sSub>
                  <m:sSubPr>
                    <m:ctrlPr>
                      <w:rPr>
                        <w:rFonts w:ascii="Cambria Math" w:hAnsi="Cambria Math"/>
                      </w:rPr>
                    </m:ctrlPr>
                  </m:sSubPr>
                  <m:e>
                    <m:r>
                      <m:rPr>
                        <m:nor/>
                      </m:rPr>
                      <m:t>egg_number</m:t>
                    </m:r>
                  </m:e>
                  <m:sub>
                    <m:r>
                      <w:rPr>
                        <w:rFonts w:ascii="Cambria Math" w:hAnsi="Cambria Math"/>
                      </w:rPr>
                      <m:t>ij</m:t>
                    </m:r>
                  </m:sub>
                </m:sSub>
              </m:e>
              <m:e>
                <m:r>
                  <m:rPr>
                    <m:sty m:val="p"/>
                  </m:rPr>
                  <w:rPr>
                    <w:rFonts w:ascii="Cambria Math" w:hAnsi="Cambria Math"/>
                  </w:rPr>
                  <m:t>=</m:t>
                </m:r>
                <m:sSub>
                  <m:sSubPr>
                    <m:ctrlPr>
                      <w:rPr>
                        <w:rFonts w:ascii="Cambria Math" w:hAnsi="Cambria Math"/>
                      </w:rPr>
                    </m:ctrlPr>
                  </m:sSubPr>
                  <m:e>
                    <m:r>
                      <w:rPr>
                        <w:rFonts w:ascii="Cambria Math" w:hAnsi="Cambria Math"/>
                      </w:rPr>
                      <m:t>α</m:t>
                    </m:r>
                  </m:e>
                  <m:sub>
                    <m:r>
                      <m:rPr>
                        <m:nor/>
                      </m:rPr>
                      <m:t>number</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number</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m:rPr>
                        <m:nor/>
                      </m:rPr>
                      <m:t>number</m:t>
                    </m:r>
                    <m:r>
                      <m:rPr>
                        <m:sty m:val="p"/>
                      </m:rPr>
                      <w:rPr>
                        <w:rFonts w:ascii="Cambria Math" w:hAnsi="Cambria Math"/>
                      </w:rPr>
                      <m:t>,</m:t>
                    </m:r>
                    <m:r>
                      <w:rPr>
                        <w:rFonts w:ascii="Cambria Math" w:hAnsi="Cambria Math"/>
                      </w:rPr>
                      <m:t>ij</m:t>
                    </m:r>
                  </m:sub>
                </m:sSub>
              </m:e>
            </m:mr>
          </m:m>
          <m:r>
            <w:rPr>
              <w:rFonts w:ascii="Cambria Math" w:hAnsi="Cambria Math"/>
            </w:rPr>
            <m:t>  </m:t>
          </m:r>
          <m:d>
            <m:dPr>
              <m:ctrlPr>
                <w:rPr>
                  <w:rFonts w:ascii="Cambria Math" w:hAnsi="Cambria Math"/>
                </w:rPr>
              </m:ctrlPr>
            </m:dPr>
            <m:e>
              <m:r>
                <w:rPr>
                  <w:rFonts w:ascii="Cambria Math" w:hAnsi="Cambria Math"/>
                </w:rPr>
                <m:t>2</m:t>
              </m:r>
            </m:e>
          </m:d>
        </m:oMath>
      </m:oMathPara>
      <w:bookmarkEnd w:id="5"/>
    </w:p>
    <w:p w14:paraId="0385B6D2" w14:textId="77777777" w:rsidR="00931EE5" w:rsidRDefault="001C5E67">
      <w:pPr>
        <w:pStyle w:val="FirstParagraph"/>
      </w:pPr>
      <w:r>
        <w:t xml:space="preserve">where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w:t>
      </w:r>
      <w:r>
        <w:t xml:space="preserve">represents female-specific random intercepts (with an estimated correlation between traits), and </w:t>
      </w:r>
      <m:oMath>
        <m:sSub>
          <m:sSubPr>
            <m:ctrlPr>
              <w:rPr>
                <w:rFonts w:ascii="Cambria Math" w:hAnsi="Cambria Math"/>
              </w:rPr>
            </m:ctrlPr>
          </m:sSubPr>
          <m:e>
            <m:r>
              <w:rPr>
                <w:rFonts w:ascii="Cambria Math" w:hAnsi="Cambria Math"/>
              </w:rPr>
              <m:t>ε</m:t>
            </m:r>
          </m:e>
          <m:sub>
            <m:r>
              <w:rPr>
                <w:rFonts w:ascii="Cambria Math" w:hAnsi="Cambria Math"/>
              </w:rPr>
              <m:t>ij</m:t>
            </m:r>
          </m:sub>
        </m:sSub>
      </m:oMath>
      <w:r>
        <w:t xml:space="preserve"> represents residual errors (with an estimated residual correlation).</w:t>
      </w:r>
    </w:p>
    <w:p w14:paraId="3BC356CE" w14:textId="77777777" w:rsidR="00931EE5" w:rsidRDefault="001C5E67">
      <w:pPr>
        <w:pStyle w:val="BodyText"/>
      </w:pPr>
      <w:r>
        <w:t>In addition to calculating correlations between egg number and size at multiple levels, I also explicitly separated within- and between-female effects of egg number on egg size following van de Pol &amp; Wright (</w:t>
      </w:r>
      <w:r>
        <w:rPr>
          <w:b/>
          <w:bCs/>
        </w:rPr>
        <w:t>vandepol2009?</w:t>
      </w:r>
      <w:r>
        <w:t>) by decomposing egg number as:</w:t>
      </w:r>
    </w:p>
    <w:p w14:paraId="4FE5DF5F" w14:textId="77777777" w:rsidR="00931EE5" w:rsidRDefault="001C5E67">
      <w:pPr>
        <w:pStyle w:val="Compact"/>
        <w:numPr>
          <w:ilvl w:val="0"/>
          <w:numId w:val="15"/>
        </w:numPr>
      </w:pPr>
      <w:r>
        <w:lastRenderedPageBreak/>
        <w:t>Within-female deviation</w:t>
      </w:r>
    </w:p>
    <w:bookmarkStart w:id="6" w:name="eq-within"/>
    <w:p w14:paraId="40B724BD" w14:textId="77777777" w:rsidR="00931EE5" w:rsidRDefault="001C5E67">
      <w:pPr>
        <w:pStyle w:val="FirstParagraph"/>
      </w:pPr>
      <m:oMathPara>
        <m:oMathParaPr>
          <m:jc m:val="center"/>
        </m:oMathParaPr>
        <m:oMath>
          <m:sSub>
            <m:sSubPr>
              <m:ctrlPr>
                <w:rPr>
                  <w:rFonts w:ascii="Cambria Math" w:hAnsi="Cambria Math"/>
                </w:rPr>
              </m:ctrlPr>
            </m:sSubPr>
            <m:e>
              <m:r>
                <m:rPr>
                  <m:nor/>
                </m:rPr>
                <m:t>EggNumber</m:t>
              </m:r>
            </m:e>
            <m:sub>
              <m:r>
                <m:rPr>
                  <m:nor/>
                </m:rPr>
                <m:t>within</m:t>
              </m:r>
              <m:r>
                <m:rPr>
                  <m:sty m:val="p"/>
                </m:rPr>
                <w:rPr>
                  <w:rFonts w:ascii="Cambria Math" w:hAnsi="Cambria Math"/>
                </w:rPr>
                <m:t>,</m:t>
              </m:r>
              <m:r>
                <w:rPr>
                  <w:rFonts w:ascii="Cambria Math" w:hAnsi="Cambria Math"/>
                </w:rPr>
                <m:t>ij</m:t>
              </m:r>
            </m:sub>
          </m:sSub>
          <m:r>
            <m:rPr>
              <m:sty m:val="p"/>
            </m:rPr>
            <w:rPr>
              <w:rFonts w:ascii="Cambria Math" w:hAnsi="Cambria Math"/>
            </w:rPr>
            <m:t>=</m:t>
          </m:r>
          <m:sSub>
            <m:sSubPr>
              <m:ctrlPr>
                <w:rPr>
                  <w:rFonts w:ascii="Cambria Math" w:hAnsi="Cambria Math"/>
                </w:rPr>
              </m:ctrlPr>
            </m:sSubPr>
            <m:e>
              <m:r>
                <m:rPr>
                  <m:nor/>
                </m:rPr>
                <m:t>EggNumber</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m:rPr>
                      <m:nor/>
                    </m:rPr>
                    <m:t>EggNumber</m:t>
                  </m:r>
                </m:e>
              </m:acc>
            </m:e>
            <m:sub>
              <m:r>
                <w:rPr>
                  <w:rFonts w:ascii="Cambria Math" w:hAnsi="Cambria Math"/>
                </w:rPr>
                <m:t>i</m:t>
              </m:r>
            </m:sub>
          </m:sSub>
          <m:r>
            <w:rPr>
              <w:rFonts w:ascii="Cambria Math" w:hAnsi="Cambria Math"/>
            </w:rPr>
            <m:t>  </m:t>
          </m:r>
          <m:d>
            <m:dPr>
              <m:ctrlPr>
                <w:rPr>
                  <w:rFonts w:ascii="Cambria Math" w:hAnsi="Cambria Math"/>
                </w:rPr>
              </m:ctrlPr>
            </m:dPr>
            <m:e>
              <m:r>
                <w:rPr>
                  <w:rFonts w:ascii="Cambria Math" w:hAnsi="Cambria Math"/>
                </w:rPr>
                <m:t>3</m:t>
              </m:r>
            </m:e>
          </m:d>
        </m:oMath>
      </m:oMathPara>
      <w:bookmarkEnd w:id="6"/>
    </w:p>
    <w:p w14:paraId="4D094FB6" w14:textId="77777777" w:rsidR="00931EE5" w:rsidRDefault="001C5E67">
      <w:pPr>
        <w:pStyle w:val="Compact"/>
        <w:numPr>
          <w:ilvl w:val="0"/>
          <w:numId w:val="16"/>
        </w:numPr>
      </w:pPr>
      <w:r>
        <w:t>Between-female component</w:t>
      </w:r>
    </w:p>
    <w:bookmarkStart w:id="7" w:name="eq-between"/>
    <w:p w14:paraId="7943C5EA" w14:textId="77777777" w:rsidR="00931EE5" w:rsidRDefault="001C5E67">
      <w:pPr>
        <w:pStyle w:val="FirstParagraph"/>
      </w:pPr>
      <m:oMathPara>
        <m:oMathParaPr>
          <m:jc m:val="center"/>
        </m:oMathParaPr>
        <m:oMath>
          <m:sSub>
            <m:sSubPr>
              <m:ctrlPr>
                <w:rPr>
                  <w:rFonts w:ascii="Cambria Math" w:hAnsi="Cambria Math"/>
                </w:rPr>
              </m:ctrlPr>
            </m:sSubPr>
            <m:e>
              <m:r>
                <m:rPr>
                  <m:nor/>
                </m:rPr>
                <m:t>EggNumber</m:t>
              </m:r>
            </m:e>
            <m:sub>
              <m:r>
                <m:rPr>
                  <m:nor/>
                </m:rPr>
                <m:t>between</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m:rPr>
                      <m:nor/>
                    </m:rPr>
                    <m:t>EggNumber</m:t>
                  </m:r>
                </m:e>
              </m:acc>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m:rPr>
                  <m:nor/>
                </m:rPr>
                <m:t>EggNumber</m:t>
              </m:r>
            </m:e>
          </m:acc>
          <m:r>
            <w:rPr>
              <w:rFonts w:ascii="Cambria Math" w:hAnsi="Cambria Math"/>
            </w:rPr>
            <m:t>  </m:t>
          </m:r>
          <m:d>
            <m:dPr>
              <m:ctrlPr>
                <w:rPr>
                  <w:rFonts w:ascii="Cambria Math" w:hAnsi="Cambria Math"/>
                </w:rPr>
              </m:ctrlPr>
            </m:dPr>
            <m:e>
              <m:r>
                <w:rPr>
                  <w:rFonts w:ascii="Cambria Math" w:hAnsi="Cambria Math"/>
                </w:rPr>
                <m:t>4</m:t>
              </m:r>
            </m:e>
          </m:d>
        </m:oMath>
      </m:oMathPara>
      <w:bookmarkEnd w:id="7"/>
    </w:p>
    <w:p w14:paraId="380CA92E" w14:textId="77777777" w:rsidR="00931EE5" w:rsidRDefault="001C5E67">
      <w:pPr>
        <w:pStyle w:val="FirstParagraph"/>
      </w:pPr>
      <w:r>
        <w:t>I then fitted the following linear mixed-effects model:</w:t>
      </w:r>
    </w:p>
    <w:bookmarkStart w:id="8" w:name="eq-withinbetween"/>
    <w:p w14:paraId="58C31743" w14:textId="77777777" w:rsidR="00931EE5" w:rsidRDefault="001C5E67">
      <w:pPr>
        <w:pStyle w:val="BodyText"/>
      </w:pPr>
      <m:oMathPara>
        <m:oMathParaPr>
          <m:jc m:val="center"/>
        </m:oMathParaPr>
        <m:oMath>
          <m:sSub>
            <m:sSubPr>
              <m:ctrlPr>
                <w:rPr>
                  <w:rFonts w:ascii="Cambria Math" w:hAnsi="Cambria Math"/>
                </w:rPr>
              </m:ctrlPr>
            </m:sSubPr>
            <m:e>
              <m:r>
                <m:rPr>
                  <m:nor/>
                </m:rPr>
                <m:t>MeanEggSize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W</m:t>
              </m:r>
            </m:sub>
          </m:sSub>
          <m:r>
            <w:rPr>
              <w:rFonts w:ascii="Cambria Math" w:hAnsi="Cambria Math"/>
            </w:rPr>
            <m:t> </m:t>
          </m:r>
          <m:sSub>
            <m:sSubPr>
              <m:ctrlPr>
                <w:rPr>
                  <w:rFonts w:ascii="Cambria Math" w:hAnsi="Cambria Math"/>
                </w:rPr>
              </m:ctrlPr>
            </m:sSubPr>
            <m:e>
              <m:r>
                <m:rPr>
                  <m:nor/>
                </m:rPr>
                <m:t>EggNumber</m:t>
              </m:r>
            </m:e>
            <m:sub>
              <m:r>
                <m:rPr>
                  <m:nor/>
                </m:rPr>
                <m:t>within</m:t>
              </m:r>
              <m:r>
                <m:rPr>
                  <m:sty m:val="p"/>
                </m:rPr>
                <w:rPr>
                  <w:rFonts w:ascii="Cambria Math" w:hAnsi="Cambria Math"/>
                </w:rPr>
                <m:t>,</m:t>
              </m:r>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m:t>
              </m:r>
            </m:sub>
          </m:sSub>
          <m:r>
            <w:rPr>
              <w:rFonts w:ascii="Cambria Math" w:hAnsi="Cambria Math"/>
            </w:rPr>
            <m:t> </m:t>
          </m:r>
          <m:sSub>
            <m:sSubPr>
              <m:ctrlPr>
                <w:rPr>
                  <w:rFonts w:ascii="Cambria Math" w:hAnsi="Cambria Math"/>
                </w:rPr>
              </m:ctrlPr>
            </m:sSubPr>
            <m:e>
              <m:r>
                <m:rPr>
                  <m:nor/>
                </m:rPr>
                <m:t>EggNumber</m:t>
              </m:r>
            </m:e>
            <m:sub>
              <m:r>
                <m:rPr>
                  <m:nor/>
                </m:rPr>
                <m:t>between</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0</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ij</m:t>
              </m:r>
            </m:sub>
          </m:sSub>
          <m:r>
            <w:rPr>
              <w:rFonts w:ascii="Cambria Math" w:hAnsi="Cambria Math"/>
            </w:rPr>
            <m:t>  </m:t>
          </m:r>
          <m:d>
            <m:dPr>
              <m:ctrlPr>
                <w:rPr>
                  <w:rFonts w:ascii="Cambria Math" w:hAnsi="Cambria Math"/>
                </w:rPr>
              </m:ctrlPr>
            </m:dPr>
            <m:e>
              <m:r>
                <w:rPr>
                  <w:rFonts w:ascii="Cambria Math" w:hAnsi="Cambria Math"/>
                </w:rPr>
                <m:t>5</m:t>
              </m:r>
            </m:e>
          </m:d>
        </m:oMath>
      </m:oMathPara>
      <w:bookmarkEnd w:id="8"/>
    </w:p>
    <w:p w14:paraId="4F603F1A" w14:textId="77777777" w:rsidR="00931EE5" w:rsidRDefault="001C5E67">
      <w:pPr>
        <w:pStyle w:val="FirstParagraph"/>
      </w:pPr>
      <w:r>
        <w:t>with</w:t>
      </w:r>
    </w:p>
    <w:p w14:paraId="3A61B983" w14:textId="77777777" w:rsidR="00931EE5" w:rsidRDefault="001C5E67">
      <w:pPr>
        <w:pStyle w:val="BodyText"/>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0</m:t>
              </m:r>
              <m:r>
                <w:rPr>
                  <w:rFonts w:ascii="Cambria Math" w:hAnsi="Cambria Math"/>
                </w:rPr>
                <m:t>i</m:t>
              </m:r>
            </m:sub>
          </m:sSub>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m:rPr>
                      <m:nor/>
                    </m:rPr>
                    <m:t>id</m:t>
                  </m:r>
                </m:sub>
                <m:sup>
                  <m:r>
                    <w:rPr>
                      <w:rFonts w:ascii="Cambria Math" w:hAnsi="Cambria Math"/>
                    </w:rPr>
                    <m:t>2</m:t>
                  </m:r>
                </m:sup>
              </m:sSubSup>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ij</m:t>
              </m:r>
            </m:sub>
          </m:sSub>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e>
          </m:d>
        </m:oMath>
      </m:oMathPara>
    </w:p>
    <w:p w14:paraId="5216B419" w14:textId="77777777" w:rsidR="00931EE5" w:rsidRDefault="001C5E67">
      <w:pPr>
        <w:pStyle w:val="FirstParagraph"/>
      </w:pPr>
      <w:r>
        <w:t xml:space="preserve">The coefficient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estimates the within-female (plastic) effect of egg number on egg size, whereas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estimates the between-female (strategic) effect.</w:t>
      </w:r>
    </w:p>
    <w:p w14:paraId="4C08174C" w14:textId="77777777" w:rsidR="00931EE5" w:rsidRDefault="001C5E67">
      <w:pPr>
        <w:pStyle w:val="BodyText"/>
      </w:pPr>
      <w:r>
        <w:t>To facilitate comparison of effect sizes, continuous predictors were standardized by subtracting the mean and dividing by the standard deviation:</w:t>
      </w:r>
    </w:p>
    <w:bookmarkStart w:id="9" w:name="eq-standardization"/>
    <w:p w14:paraId="6D728DE2" w14:textId="77777777" w:rsidR="00931EE5" w:rsidRDefault="001C5E67">
      <w:pPr>
        <w:pStyle w:val="BodyText"/>
      </w:pPr>
      <m:oMathPara>
        <m:oMathParaPr>
          <m:jc m:val="center"/>
        </m:oMathParaPr>
        <m:oMath>
          <m:sSub>
            <m:sSubPr>
              <m:ctrlPr>
                <w:rPr>
                  <w:rFonts w:ascii="Cambria Math" w:hAnsi="Cambria Math"/>
                </w:rPr>
              </m:ctrlPr>
            </m:sSubPr>
            <m:e>
              <m:r>
                <w:rPr>
                  <w:rFonts w:ascii="Cambria Math" w:hAnsi="Cambria Math"/>
                </w:rPr>
                <m:t>X</m:t>
              </m:r>
            </m:e>
            <m:sub>
              <m:r>
                <m:rPr>
                  <m:nor/>
                </m:rPr>
                <m:t>std</m:t>
              </m:r>
            </m:sub>
          </m:sSub>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acc>
                <m:accPr>
                  <m:chr m:val="‾"/>
                  <m:ctrlPr>
                    <w:rPr>
                      <w:rFonts w:ascii="Cambria Math" w:hAnsi="Cambria Math"/>
                    </w:rPr>
                  </m:ctrlPr>
                </m:accPr>
                <m:e>
                  <m:r>
                    <w:rPr>
                      <w:rFonts w:ascii="Cambria Math" w:hAnsi="Cambria Math"/>
                    </w:rPr>
                    <m:t>X</m:t>
                  </m:r>
                </m:e>
              </m:acc>
            </m:num>
            <m:den>
              <m:r>
                <m:rPr>
                  <m:sty m:val="p"/>
                </m:rPr>
                <w:rPr>
                  <w:rFonts w:ascii="Cambria Math" w:hAnsi="Cambria Math"/>
                </w:rPr>
                <m:t>SD</m:t>
              </m:r>
              <m:d>
                <m:dPr>
                  <m:ctrlPr>
                    <w:rPr>
                      <w:rFonts w:ascii="Cambria Math" w:hAnsi="Cambria Math"/>
                    </w:rPr>
                  </m:ctrlPr>
                </m:dPr>
                <m:e>
                  <m:r>
                    <w:rPr>
                      <w:rFonts w:ascii="Cambria Math" w:hAnsi="Cambria Math"/>
                    </w:rPr>
                    <m:t>X</m:t>
                  </m:r>
                </m:e>
              </m:d>
            </m:den>
          </m:f>
          <m:r>
            <w:rPr>
              <w:rFonts w:ascii="Cambria Math" w:hAnsi="Cambria Math"/>
            </w:rPr>
            <m:t>  </m:t>
          </m:r>
          <m:d>
            <m:dPr>
              <m:ctrlPr>
                <w:rPr>
                  <w:rFonts w:ascii="Cambria Math" w:hAnsi="Cambria Math"/>
                </w:rPr>
              </m:ctrlPr>
            </m:dPr>
            <m:e>
              <m:r>
                <w:rPr>
                  <w:rFonts w:ascii="Cambria Math" w:hAnsi="Cambria Math"/>
                </w:rPr>
                <m:t>6</m:t>
              </m:r>
            </m:e>
          </m:d>
        </m:oMath>
      </m:oMathPara>
      <w:bookmarkEnd w:id="9"/>
    </w:p>
    <w:p w14:paraId="5EB9F7AF" w14:textId="77777777" w:rsidR="00931EE5" w:rsidRDefault="001C5E67">
      <w:pPr>
        <w:pStyle w:val="FirstParagraph"/>
      </w:pPr>
      <w:r>
        <w:t xml:space="preserve">The within-female and between-female components were standardized across their respective distributions. When estimating standardized regression coefficients, the response variable was also scaled to unit standard deviation. Standardized coefficients therefore represent the expected </w:t>
      </w:r>
      <w:r>
        <w:lastRenderedPageBreak/>
        <w:t>change (in standard deviation units) in egg size per one standard deviation change in the predictor.</w:t>
      </w:r>
    </w:p>
    <w:p w14:paraId="1F5FD3A9" w14:textId="77777777" w:rsidR="00931EE5" w:rsidRDefault="001C5E67">
      <w:pPr>
        <w:pStyle w:val="BodyText"/>
      </w:pPr>
      <w:r>
        <w:t>To test whether females differed in their propensity to trade off egg size against egg number, I fitted a random-slopes model allowing the within-female effect of egg number to vary among females:</w:t>
      </w:r>
    </w:p>
    <w:bookmarkStart w:id="10" w:name="eq-randomslopes"/>
    <w:p w14:paraId="3A47C121" w14:textId="77777777" w:rsidR="00931EE5" w:rsidRDefault="001C5E67">
      <w:pPr>
        <w:pStyle w:val="BodyText"/>
      </w:pPr>
      <m:oMathPara>
        <m:oMathParaPr>
          <m:jc m:val="center"/>
        </m:oMathParaPr>
        <m:oMath>
          <m:sSub>
            <m:sSubPr>
              <m:ctrlPr>
                <w:rPr>
                  <w:rFonts w:ascii="Cambria Math" w:hAnsi="Cambria Math"/>
                </w:rPr>
              </m:ctrlPr>
            </m:sSubPr>
            <m:e>
              <m:r>
                <m:rPr>
                  <m:nor/>
                </m:rPr>
                <m:t>mean egg size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W</m:t>
              </m:r>
            </m:sub>
          </m:sSub>
          <m:r>
            <w:rPr>
              <w:rFonts w:ascii="Cambria Math" w:hAnsi="Cambria Math"/>
            </w:rPr>
            <m:t> </m:t>
          </m:r>
          <m:sSub>
            <m:sSubPr>
              <m:ctrlPr>
                <w:rPr>
                  <w:rFonts w:ascii="Cambria Math" w:hAnsi="Cambria Math"/>
                </w:rPr>
              </m:ctrlPr>
            </m:sSubPr>
            <m:e>
              <m:r>
                <m:rPr>
                  <m:nor/>
                </m:rPr>
                <m:t>egg_number</m:t>
              </m:r>
            </m:e>
            <m:sub>
              <m:r>
                <m:rPr>
                  <m:nor/>
                </m:rPr>
                <m:t>within</m:t>
              </m:r>
              <m:r>
                <m:rPr>
                  <m:sty m:val="p"/>
                </m:rPr>
                <w:rPr>
                  <w:rFonts w:ascii="Cambria Math" w:hAnsi="Cambria Math"/>
                </w:rPr>
                <m:t>,</m:t>
              </m:r>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m:t>
              </m:r>
            </m:sub>
          </m:sSub>
          <m:r>
            <w:rPr>
              <w:rFonts w:ascii="Cambria Math" w:hAnsi="Cambria Math"/>
            </w:rPr>
            <m:t> </m:t>
          </m:r>
          <m:sSub>
            <m:sSubPr>
              <m:ctrlPr>
                <w:rPr>
                  <w:rFonts w:ascii="Cambria Math" w:hAnsi="Cambria Math"/>
                </w:rPr>
              </m:ctrlPr>
            </m:sSubPr>
            <m:e>
              <m:r>
                <m:rPr>
                  <m:nor/>
                </m:rPr>
                <m:t>egg_number</m:t>
              </m:r>
            </m:e>
            <m:sub>
              <m:r>
                <m:rPr>
                  <m:nor/>
                </m:rPr>
                <m:t>between</m:t>
              </m:r>
              <m:r>
                <m:rPr>
                  <m:sty m:val="p"/>
                </m:rPr>
                <w:rPr>
                  <w:rFonts w:ascii="Cambria Math" w:hAnsi="Cambria Math"/>
                </w:rPr>
                <m:t>,</m:t>
              </m:r>
              <m:r>
                <w:rPr>
                  <w:rFonts w:ascii="Cambria Math" w:hAnsi="Cambria Math"/>
                </w:rPr>
                <m:t>i</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m:rPr>
                      <m:nor/>
                    </m:rPr>
                    <m:t>egg_number</m:t>
                  </m:r>
                </m:e>
                <m:sub>
                  <m:r>
                    <m:rPr>
                      <m:nor/>
                    </m:rPr>
                    <m:t>within</m:t>
                  </m:r>
                </m:sub>
              </m:sSub>
              <m:r>
                <m:rPr>
                  <m:sty m:val="p"/>
                </m:rPr>
                <w:rPr>
                  <w:rFonts w:ascii="Cambria Math" w:hAnsi="Cambria Math"/>
                </w:rPr>
                <m:t>∣</m:t>
              </m:r>
              <m:r>
                <m:rPr>
                  <m:nor/>
                </m:rPr>
                <m:t>id</m:t>
              </m:r>
            </m:e>
          </m:d>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ij</m:t>
              </m:r>
            </m:sub>
          </m:sSub>
          <m:r>
            <w:rPr>
              <w:rFonts w:ascii="Cambria Math" w:hAnsi="Cambria Math"/>
            </w:rPr>
            <m:t>  </m:t>
          </m:r>
          <m:d>
            <m:dPr>
              <m:ctrlPr>
                <w:rPr>
                  <w:rFonts w:ascii="Cambria Math" w:hAnsi="Cambria Math"/>
                </w:rPr>
              </m:ctrlPr>
            </m:dPr>
            <m:e>
              <m:r>
                <w:rPr>
                  <w:rFonts w:ascii="Cambria Math" w:hAnsi="Cambria Math"/>
                </w:rPr>
                <m:t>7</m:t>
              </m:r>
            </m:e>
          </m:d>
        </m:oMath>
      </m:oMathPara>
      <w:bookmarkEnd w:id="10"/>
    </w:p>
    <w:p w14:paraId="6DC8D472" w14:textId="77777777" w:rsidR="00931EE5" w:rsidRDefault="001C5E67">
      <w:pPr>
        <w:pStyle w:val="FirstParagraph"/>
      </w:pPr>
      <w:r>
        <w:t>This model estimates variance in within-female slopes as well as the intercept–slope correlation, thereby quantifying heterogeneity in allocation strategies. Specifically, it allows assessment of whether females with larger average egg size differ systematically in the strength or direction of their within-female trade-off. This model was used to quantify individual variation in slopes but not to derive standardized fixed effects.</w:t>
      </w:r>
    </w:p>
    <w:p w14:paraId="4C8B01DD" w14:textId="77777777" w:rsidR="00931EE5" w:rsidRDefault="001C5E67">
      <w:pPr>
        <w:pStyle w:val="BodyText"/>
      </w:pPr>
      <w:r>
        <w:t>Because both egg number and egg size varied systematically across clutches, we tested whether clutch order explained the within-female association by including clutch as a fixed effect in the within–between model:</w:t>
      </w:r>
    </w:p>
    <w:bookmarkStart w:id="11" w:name="eq-clutchorderwithinbetween"/>
    <w:p w14:paraId="0BD35D12" w14:textId="77777777" w:rsidR="00931EE5" w:rsidRDefault="001C5E67">
      <w:pPr>
        <w:pStyle w:val="BodyText"/>
      </w:pPr>
      <m:oMathPara>
        <m:oMathParaPr>
          <m:jc m:val="center"/>
        </m:oMathParaPr>
        <m:oMath>
          <m:sSub>
            <m:sSubPr>
              <m:ctrlPr>
                <w:rPr>
                  <w:rFonts w:ascii="Cambria Math" w:hAnsi="Cambria Math"/>
                </w:rPr>
              </m:ctrlPr>
            </m:sSubPr>
            <m:e>
              <m:r>
                <m:rPr>
                  <m:nor/>
                </m:rPr>
                <m:t>mean egg size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W</m:t>
              </m:r>
            </m:sub>
          </m:sSub>
          <m:r>
            <w:rPr>
              <w:rFonts w:ascii="Cambria Math" w:hAnsi="Cambria Math"/>
            </w:rPr>
            <m:t> </m:t>
          </m:r>
          <m:sSub>
            <m:sSubPr>
              <m:ctrlPr>
                <w:rPr>
                  <w:rFonts w:ascii="Cambria Math" w:hAnsi="Cambria Math"/>
                </w:rPr>
              </m:ctrlPr>
            </m:sSubPr>
            <m:e>
              <m:r>
                <m:rPr>
                  <m:nor/>
                </m:rPr>
                <m:t>egg_number</m:t>
              </m:r>
            </m:e>
            <m:sub>
              <m:r>
                <m:rPr>
                  <m:nor/>
                </m:rPr>
                <m:t>within</m:t>
              </m:r>
              <m:r>
                <m:rPr>
                  <m:sty m:val="p"/>
                </m:rPr>
                <w:rPr>
                  <w:rFonts w:ascii="Cambria Math" w:hAnsi="Cambria Math"/>
                </w:rPr>
                <m:t>,</m:t>
              </m:r>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m:t>
              </m:r>
            </m:sub>
          </m:sSub>
          <m:r>
            <w:rPr>
              <w:rFonts w:ascii="Cambria Math" w:hAnsi="Cambria Math"/>
            </w:rPr>
            <m:t> </m:t>
          </m:r>
          <m:sSub>
            <m:sSubPr>
              <m:ctrlPr>
                <w:rPr>
                  <w:rFonts w:ascii="Cambria Math" w:hAnsi="Cambria Math"/>
                </w:rPr>
              </m:ctrlPr>
            </m:sSubPr>
            <m:e>
              <m:r>
                <m:rPr>
                  <m:nor/>
                </m:rPr>
                <m:t>egg_number</m:t>
              </m:r>
            </m:e>
            <m:sub>
              <m:r>
                <m:rPr>
                  <m:nor/>
                </m:rPr>
                <m:t>between</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nor/>
                </m:rPr>
                <m:t>brood</m:t>
              </m:r>
            </m:sub>
          </m:sSub>
          <m:r>
            <w:rPr>
              <w:rFonts w:ascii="Cambria Math" w:hAnsi="Cambria Math"/>
            </w:rPr>
            <m:t> </m:t>
          </m:r>
          <m:sSub>
            <m:sSubPr>
              <m:ctrlPr>
                <w:rPr>
                  <w:rFonts w:ascii="Cambria Math" w:hAnsi="Cambria Math"/>
                </w:rPr>
              </m:ctrlPr>
            </m:sSubPr>
            <m:e>
              <m:r>
                <m:rPr>
                  <m:nor/>
                </m:rPr>
                <m:t>brood</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0</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ij</m:t>
              </m:r>
            </m:sub>
          </m:sSub>
          <m:r>
            <w:rPr>
              <w:rFonts w:ascii="Cambria Math" w:hAnsi="Cambria Math"/>
            </w:rPr>
            <m:t>  </m:t>
          </m:r>
          <m:d>
            <m:dPr>
              <m:ctrlPr>
                <w:rPr>
                  <w:rFonts w:ascii="Cambria Math" w:hAnsi="Cambria Math"/>
                </w:rPr>
              </m:ctrlPr>
            </m:dPr>
            <m:e>
              <m:r>
                <w:rPr>
                  <w:rFonts w:ascii="Cambria Math" w:hAnsi="Cambria Math"/>
                </w:rPr>
                <m:t>8</m:t>
              </m:r>
            </m:e>
          </m:d>
        </m:oMath>
      </m:oMathPara>
      <w:bookmarkEnd w:id="11"/>
    </w:p>
    <w:p w14:paraId="46A63097" w14:textId="77777777" w:rsidR="00931EE5" w:rsidRDefault="001C5E67">
      <w:pPr>
        <w:pStyle w:val="FirstParagraph"/>
      </w:pPr>
      <w:r>
        <w:lastRenderedPageBreak/>
        <w:t xml:space="preserve">This model evaluates whether the within-female slope persists after accounting for systematic clutch-related shifts in reproductive output. A reduction of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toward zero indicates that any apparent within-female association was driven by parallel clutch-order changes rather than plastic allocation per se.</w:t>
      </w:r>
    </w:p>
    <w:p w14:paraId="70A2DB68" w14:textId="77777777" w:rsidR="00931EE5" w:rsidRDefault="001C5E67">
      <w:pPr>
        <w:pStyle w:val="BodyText"/>
      </w:pPr>
      <w:r>
        <w:t>Weakly informative priors were specified for all model parameters to regularize estimation while remaining minimally restrictive. All models were fitted using Markov chain Monte Carlo (MCMC) sampling with four independent chains and 4,000 iterations to ensure adequate posterior exploration. Convergence was evaluated using the potential scale reduction factor (</w:t>
      </w:r>
      <m:oMath>
        <m:acc>
          <m:accPr>
            <m:ctrlPr>
              <w:rPr>
                <w:rFonts w:ascii="Cambria Math" w:hAnsi="Cambria Math"/>
              </w:rPr>
            </m:ctrlPr>
          </m:accPr>
          <m:e>
            <m:r>
              <w:rPr>
                <w:rFonts w:ascii="Cambria Math" w:hAnsi="Cambria Math"/>
              </w:rPr>
              <m:t>R</m:t>
            </m:r>
          </m:e>
        </m:acc>
      </m:oMath>
      <w:r>
        <w:t xml:space="preserve"> = 1.00), effective sample sizes (bulk and tail ESS), and visual inspection of trace plots. All reported parameters satisfied standard convergence criteria (</w:t>
      </w:r>
      <m:oMath>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1.00</m:t>
        </m:r>
      </m:oMath>
      <w:r>
        <w:t>). Parameter estimates are presented as posterior means with 95% credible intervals derived from the posterior distributions. Inference was based on CrIs that did not include zero.</w:t>
      </w:r>
    </w:p>
    <w:p w14:paraId="32C81AB8" w14:textId="77777777" w:rsidR="00931EE5" w:rsidRDefault="001C5E67">
      <w:pPr>
        <w:pStyle w:val="BodyText"/>
      </w:pPr>
      <w:r>
        <w:t>I examined whether the first and second clutches of eggs differed in egg size variation among (</w:t>
      </w:r>
      <w:r>
        <w:rPr>
          <w:i/>
          <w:iCs/>
        </w:rPr>
        <w:t>V</w:t>
      </w:r>
      <w:r>
        <w:rPr>
          <w:vertAlign w:val="subscript"/>
        </w:rPr>
        <w:t>among</w:t>
      </w:r>
      <w:r>
        <w:t>) and within (</w:t>
      </w:r>
      <w:r>
        <w:rPr>
          <w:i/>
          <w:iCs/>
        </w:rPr>
        <w:t>V</w:t>
      </w:r>
      <w:r>
        <w:rPr>
          <w:vertAlign w:val="subscript"/>
        </w:rPr>
        <w:t>within</w:t>
      </w:r>
      <w:r>
        <w:t>) females by constructing a univariate hierarchical linear mixed-effects model with scaled mean egg perimeter as the response variable, clutch (first or second) as a fixed effect, and female body size as a continuous covariate. I also included, as random effects, a random slope for each clutch for each female. In the dispersion part of the model, I included clutch as a fixed effect to estimate the within-individual (i.e. residual) variance in egg size for each clutch. I then teste</w:t>
      </w:r>
      <w:r>
        <w:t xml:space="preserve">d whether the first and second clutch differed in egg size at the among- and within-female levels. Data were visualized using </w:t>
      </w:r>
      <w:r>
        <w:rPr>
          <w:i/>
          <w:iCs/>
        </w:rPr>
        <w:t>ggplot</w:t>
      </w:r>
      <w:r>
        <w:t xml:space="preserve"> (</w:t>
      </w:r>
      <w:r>
        <w:rPr>
          <w:b/>
          <w:bCs/>
        </w:rPr>
        <w:t>wickham2016?</w:t>
      </w:r>
      <w:r>
        <w:t>).</w:t>
      </w:r>
    </w:p>
    <w:p w14:paraId="41B5DAF0" w14:textId="77777777" w:rsidR="00931EE5" w:rsidRDefault="001C5E67">
      <w:pPr>
        <w:pStyle w:val="Heading1"/>
      </w:pPr>
      <w:bookmarkStart w:id="12" w:name="results"/>
      <w:bookmarkEnd w:id="2"/>
      <w:bookmarkEnd w:id="3"/>
      <w:r>
        <w:lastRenderedPageBreak/>
        <w:t>Results</w:t>
      </w:r>
    </w:p>
    <w:p w14:paraId="789CF7B6" w14:textId="77777777" w:rsidR="00931EE5" w:rsidRDefault="001C5E67">
      <w:pPr>
        <w:pStyle w:val="Heading3"/>
      </w:pPr>
      <w:bookmarkStart w:id="13" w:name="X2adf980c3cdf557e751ed69a8410e917bd83bb9"/>
      <w:r>
        <w:t>Effect of clutch order on egg size and number</w:t>
      </w:r>
    </w:p>
    <w:p w14:paraId="38D7E8BE" w14:textId="77777777" w:rsidR="00931EE5" w:rsidRDefault="001C5E67">
      <w:pPr>
        <w:pStyle w:val="FirstParagraph"/>
      </w:pPr>
      <w:r>
        <w:t>Both egg number and egg size declined in the second clutch. In the multivariate Gaussian–Poisson model, egg size was smaller in clutch two (</w:t>
      </w:r>
      <m:oMath>
        <m:acc>
          <m:accPr>
            <m:chr m:val="‾"/>
            <m:ctrlPr>
              <w:rPr>
                <w:rFonts w:ascii="Cambria Math" w:hAnsi="Cambria Math"/>
              </w:rPr>
            </m:ctrlPr>
          </m:accPr>
          <m:e>
            <m:r>
              <w:rPr>
                <w:rFonts w:ascii="Cambria Math" w:hAnsi="Cambria Math"/>
              </w:rPr>
              <m:t>x</m:t>
            </m:r>
          </m:e>
        </m:acc>
      </m:oMath>
      <w:r>
        <w:t xml:space="preserve"> ± SE = 3.41 ± 0.03) relative to clutch one (</w:t>
      </w:r>
      <m:oMath>
        <m:acc>
          <m:accPr>
            <m:chr m:val="‾"/>
            <m:ctrlPr>
              <w:rPr>
                <w:rFonts w:ascii="Cambria Math" w:hAnsi="Cambria Math"/>
              </w:rPr>
            </m:ctrlPr>
          </m:accPr>
          <m:e>
            <m:r>
              <w:rPr>
                <w:rFonts w:ascii="Cambria Math" w:hAnsi="Cambria Math"/>
              </w:rPr>
              <m:t>x</m:t>
            </m:r>
          </m:e>
        </m:acc>
      </m:oMath>
      <w:r>
        <w:t xml:space="preserve"> = 3.54 ± 0.03; </w:t>
      </w:r>
      <m:oMath>
        <m:r>
          <w:rPr>
            <w:rFonts w:ascii="Cambria Math" w:hAnsi="Cambria Math"/>
          </w:rPr>
          <m:t>β</m:t>
        </m:r>
      </m:oMath>
      <w:r>
        <w:t xml:space="preserve"> = -0.12, 95% CrI (-0.21, -0.04). Egg number also declined significantly (clutch one: </w:t>
      </w:r>
      <m:oMath>
        <m:acc>
          <m:accPr>
            <m:chr m:val="‾"/>
            <m:ctrlPr>
              <w:rPr>
                <w:rFonts w:ascii="Cambria Math" w:hAnsi="Cambria Math"/>
              </w:rPr>
            </m:ctrlPr>
          </m:accPr>
          <m:e>
            <m:r>
              <w:rPr>
                <w:rFonts w:ascii="Cambria Math" w:hAnsi="Cambria Math"/>
              </w:rPr>
              <m:t>x</m:t>
            </m:r>
          </m:e>
        </m:acc>
      </m:oMath>
      <w:r>
        <w:t xml:space="preserve"> = 51.55 ± 2.49; clutch two: </w:t>
      </w:r>
      <m:oMath>
        <m:acc>
          <m:accPr>
            <m:chr m:val="‾"/>
            <m:ctrlPr>
              <w:rPr>
                <w:rFonts w:ascii="Cambria Math" w:hAnsi="Cambria Math"/>
              </w:rPr>
            </m:ctrlPr>
          </m:accPr>
          <m:e>
            <m:r>
              <w:rPr>
                <w:rFonts w:ascii="Cambria Math" w:hAnsi="Cambria Math"/>
              </w:rPr>
              <m:t>x</m:t>
            </m:r>
          </m:e>
        </m:acc>
      </m:oMath>
      <w:r>
        <w:t xml:space="preserve"> = 34.14 ± 2.65; log-scale </w:t>
      </w:r>
      <m:oMath>
        <m:r>
          <w:rPr>
            <w:rFonts w:ascii="Cambria Math" w:hAnsi="Cambria Math"/>
          </w:rPr>
          <m:t>β</m:t>
        </m:r>
      </m:oMath>
      <w:r>
        <w:t xml:space="preserve"> = -0.41, 95% CrI (-0.48, -0.34)), corresponding to an approximate 34% reduction on the natural scale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0.410</m:t>
            </m:r>
          </m:sup>
        </m:sSup>
        <m:r>
          <m:rPr>
            <m:sty m:val="p"/>
          </m:rPr>
          <w:rPr>
            <w:rFonts w:ascii="Cambria Math" w:hAnsi="Cambria Math"/>
          </w:rPr>
          <m:t>≈</m:t>
        </m:r>
        <m:r>
          <w:rPr>
            <w:rFonts w:ascii="Cambria Math" w:hAnsi="Cambria Math"/>
          </w:rPr>
          <m:t>0.66</m:t>
        </m:r>
      </m:oMath>
      <w:r>
        <w:t>). Among-female variation remained detectable for both egg size (SD = 0.091, 95% CrI [0.009, 0.165]) and egg number (SD = 0.355, 95% CrI [0.273, 0.460]), indicating persistent heterogeneity across broods.</w:t>
      </w:r>
    </w:p>
    <w:p w14:paraId="4E08A2F4" w14:textId="77777777" w:rsidR="00931EE5" w:rsidRDefault="001C5E67">
      <w:pPr>
        <w:pStyle w:val="Heading3"/>
      </w:pPr>
      <w:bookmarkStart w:id="14" w:name="X8f40dbed1f2515dba178cdbe2247c63c8a0b998"/>
      <w:bookmarkEnd w:id="13"/>
      <w:r>
        <w:t>Multilevel correlations between egg number and egg size</w:t>
      </w:r>
    </w:p>
    <w:p w14:paraId="3C6053FE" w14:textId="77777777" w:rsidR="00931EE5" w:rsidRDefault="001C5E67">
      <w:pPr>
        <w:pStyle w:val="FirstParagraph"/>
      </w:pPr>
      <w:r>
        <w:t>Across all observations, the raw Pearson correlation between egg number and egg size was weak and close to zero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-0.04, 95% CI [-0.25, 0.19]), suggesting no clear phenotypic association when hierarchical structure was ignored. In contrast, the between-female Pearson correlation calculated from female means was moderate and negative (</w:t>
      </w:r>
      <m:oMath>
        <m:sSub>
          <m:sSubPr>
            <m:ctrlPr>
              <w:rPr>
                <w:rFonts w:ascii="Cambria Math" w:hAnsi="Cambria Math"/>
              </w:rPr>
            </m:ctrlPr>
          </m:sSubPr>
          <m:e>
            <m:r>
              <w:rPr>
                <w:rFonts w:ascii="Cambria Math" w:hAnsi="Cambria Math"/>
              </w:rPr>
              <m:t>r</m:t>
            </m:r>
          </m:e>
          <m:sub>
            <m:r>
              <w:rPr>
                <w:rFonts w:ascii="Cambria Math" w:hAnsi="Cambria Math"/>
              </w:rPr>
              <m:t>between</m:t>
            </m:r>
          </m:sub>
        </m:sSub>
      </m:oMath>
      <w:r>
        <w:t xml:space="preserve"> = -0.31, 95% CI [-0.55, -0.02]; </w:t>
      </w:r>
      <w:hyperlink w:anchor="fig-one">
        <w:r>
          <w:rPr>
            <w:rStyle w:val="Hyperlink"/>
          </w:rPr>
          <w:t>Figure 1</w:t>
        </w:r>
      </w:hyperlink>
      <w:r>
        <w:t>). Females that produced more eggs on average tended to lay smaller eggs. The multivariate Gaussian model partitioned covariation into among-female and residual components. After accounting for female identity, the residual (within-female) correlation between egg number and egg size was effectively zero and highly uncertain (</w:t>
      </w:r>
      <m:oMath>
        <m:sSub>
          <m:sSubPr>
            <m:ctrlPr>
              <w:rPr>
                <w:rFonts w:ascii="Cambria Math" w:hAnsi="Cambria Math"/>
              </w:rPr>
            </m:ctrlPr>
          </m:sSubPr>
          <m:e>
            <m:r>
              <w:rPr>
                <w:rFonts w:ascii="Cambria Math" w:hAnsi="Cambria Math"/>
              </w:rPr>
              <m:t>r</m:t>
            </m:r>
          </m:e>
          <m:sub>
            <m:r>
              <w:rPr>
                <w:rFonts w:ascii="Cambria Math" w:hAnsi="Cambria Math"/>
              </w:rPr>
              <m:t>wit</m:t>
            </m:r>
            <m:r>
              <w:rPr>
                <w:rFonts w:ascii="Cambria Math" w:hAnsi="Cambria Math"/>
              </w:rPr>
              <m:t>h</m:t>
            </m:r>
            <m:r>
              <w:rPr>
                <w:rFonts w:ascii="Cambria Math" w:hAnsi="Cambria Math"/>
              </w:rPr>
              <m:t>in</m:t>
            </m:r>
          </m:sub>
        </m:sSub>
      </m:oMath>
      <w:r>
        <w:t xml:space="preserve"> = 0.0066, 95% CI [-0.20, 0.23]; </w:t>
      </w:r>
      <w:hyperlink w:anchor="fig-two">
        <w:r>
          <w:rPr>
            <w:rStyle w:val="Hyperlink"/>
          </w:rPr>
          <w:t>Figure 2</w:t>
        </w:r>
      </w:hyperlink>
      <w:r>
        <w:t>). Thus, apparent phenotypic independence masked a moderate negative association among females but no detectable clutch-level trade-off within females.</w:t>
      </w:r>
    </w:p>
    <w:p w14:paraId="5682F995" w14:textId="77777777" w:rsidR="00931EE5" w:rsidRDefault="001C5E67">
      <w:pPr>
        <w:pStyle w:val="Heading3"/>
      </w:pPr>
      <w:bookmarkStart w:id="15" w:name="withinbetween-mixed-effects-models"/>
      <w:bookmarkEnd w:id="14"/>
      <w:r>
        <w:lastRenderedPageBreak/>
        <w:t>Within–between mixed-effects models</w:t>
      </w:r>
    </w:p>
    <w:p w14:paraId="79ADBFD0" w14:textId="77777777" w:rsidR="00931EE5" w:rsidRDefault="001C5E67">
      <w:pPr>
        <w:pStyle w:val="FirstParagraph"/>
      </w:pPr>
      <w:r>
        <w:t>In the within–between mixed-effects model, egg size varied among females (random-intercept SD = 0.07, 95% CrI [0.00, 0.15]). The within-female effect of egg number on egg size was small and uncertain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0.0028, 95% CrI [-0.0005, 0.0061]; </w:t>
      </w:r>
      <w:hyperlink w:anchor="fig-three">
        <w:r>
          <w:rPr>
            <w:rStyle w:val="Hyperlink"/>
          </w:rPr>
          <w:t>Figure 3</w:t>
        </w:r>
      </w:hyperlink>
      <w:r>
        <w:t>). On the natural scale, this corresponds to an increase of approximately 0.027 units in egg size for every additional 10 eggs within a female — an effect that was not credibly different from zero. In contrast, the between-female effect was negative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-0.0039, 95% CrI [-0.0076, -0.0001]; </w:t>
      </w:r>
      <w:hyperlink w:anchor="fig-one">
        <w:r>
          <w:rPr>
            <w:rStyle w:val="Hyperlink"/>
          </w:rPr>
          <w:t>Figure 1</w:t>
        </w:r>
      </w:hyperlink>
      <w:r>
        <w:t>). Females differing by 10 eggs in mean clutch size differed by approximately 0.038 units in egg size. Although the credible interval extended to zero, the posterior distribution was predominantly negative, consistent with a modest among-female trade-off.</w:t>
      </w:r>
    </w:p>
    <w:p w14:paraId="19A483FA" w14:textId="77777777" w:rsidR="00931EE5" w:rsidRDefault="001C5E67">
      <w:pPr>
        <w:pStyle w:val="BodyText"/>
      </w:pPr>
      <w:r>
        <w:t>Standardized coefficients reinforced the difference in magnitude between hierarchical levels. The standardized within-female effect was positive but uncertain (</w:t>
      </w:r>
      <m:oMath>
        <m:sSub>
          <m:sSubPr>
            <m:ctrlPr>
              <w:rPr>
                <w:rFonts w:ascii="Cambria Math" w:hAnsi="Cambria Math"/>
              </w:rPr>
            </m:ctrlPr>
          </m:sSubPr>
          <m:e>
            <m:r>
              <w:rPr>
                <w:rFonts w:ascii="Cambria Math" w:hAnsi="Cambria Math"/>
              </w:rPr>
              <m:t>β</m:t>
            </m:r>
          </m:e>
          <m:sub>
            <m:r>
              <w:rPr>
                <w:rFonts w:ascii="Cambria Math" w:hAnsi="Cambria Math"/>
              </w:rPr>
              <m:t>Wstandardized</m:t>
            </m:r>
          </m:sub>
        </m:sSub>
      </m:oMath>
      <w:r>
        <w:t xml:space="preserve"> = 0.17, 95% CrI [-0.03, 0.38]), whereas the standardized between-female effect was negative and its credible interval did not overlap zero (</w:t>
      </w:r>
      <m:oMath>
        <m:sSub>
          <m:sSubPr>
            <m:ctrlPr>
              <w:rPr>
                <w:rFonts w:ascii="Cambria Math" w:hAnsi="Cambria Math"/>
              </w:rPr>
            </m:ctrlPr>
          </m:sSubPr>
          <m:e>
            <m:r>
              <w:rPr>
                <w:rFonts w:ascii="Cambria Math" w:hAnsi="Cambria Math"/>
              </w:rPr>
              <m:t>β</m:t>
            </m:r>
          </m:e>
          <m:sub>
            <m:r>
              <w:rPr>
                <w:rFonts w:ascii="Cambria Math" w:hAnsi="Cambria Math"/>
              </w:rPr>
              <m:t>Bstandardized</m:t>
            </m:r>
          </m:sub>
        </m:sSub>
      </m:oMath>
      <w:r>
        <w:t xml:space="preserve"> = -0.23, 95% CrI [-0.455, -0.006]). Thus, the negative association was stronger and more consistent among females than within females.</w:t>
      </w:r>
    </w:p>
    <w:p w14:paraId="5767D992" w14:textId="77777777" w:rsidR="00931EE5" w:rsidRDefault="001C5E67">
      <w:pPr>
        <w:pStyle w:val="BodyText"/>
      </w:pPr>
      <w:r>
        <w:t>Allowing within-female slopes to vary among females produced similar fixed-effect estimates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0.0034, 95% CrI [-0.0004, 0.0076];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-0.0041, 95% CrI [-0.0082, -0.0002]; </w:t>
      </w:r>
      <w:hyperlink w:anchor="fig-three">
        <w:r>
          <w:rPr>
            <w:rStyle w:val="Hyperlink"/>
          </w:rPr>
          <w:t>Figure 3</w:t>
        </w:r>
      </w:hyperlink>
      <w:r>
        <w:t>). Variation in within-female slopes was small (SD = 0.0046, 95% CrI [0.0003, 0.0110]), and the intercept–slope correlation was highly uncertain (</w:t>
      </w:r>
      <w:r>
        <w:rPr>
          <w:i/>
          <w:iCs/>
        </w:rPr>
        <w:t>r</w:t>
      </w:r>
      <w:r>
        <w:t xml:space="preserve"> = 0.20, 95% CrI [-0.67, 0.85]), indicating no strong evidence that females differed substantially in plastic allocation patterns.</w:t>
      </w:r>
    </w:p>
    <w:p w14:paraId="4612A861" w14:textId="77777777" w:rsidR="00931EE5" w:rsidRDefault="001C5E67">
      <w:pPr>
        <w:pStyle w:val="BodyText"/>
      </w:pPr>
      <w:r>
        <w:lastRenderedPageBreak/>
        <w:t>Because both egg number and egg size declined across clutches, clutch order was included as an additional fixed effect to test whether it explained the weak positive within-female slope. When clutch order was accounted for, the within-female effect collapsed to zero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-0.0004, 95% CrI [-0.0045, 0.0035]). Thus, there was no evidence that females plastically traded egg number against egg size within clutches; the apparent association in the initial model was entirely explained by parallel declines from clutch one to clutch two.</w:t>
      </w:r>
    </w:p>
    <w:p w14:paraId="54D2721F" w14:textId="77777777" w:rsidR="00931EE5" w:rsidRDefault="001C5E67">
      <w:pPr>
        <w:pStyle w:val="Heading1"/>
      </w:pPr>
      <w:bookmarkStart w:id="16" w:name="discussion"/>
      <w:bookmarkEnd w:id="12"/>
      <w:bookmarkEnd w:id="15"/>
      <w:r>
        <w:t>Discussion</w:t>
      </w:r>
    </w:p>
    <w:p w14:paraId="2870E3C8" w14:textId="77777777" w:rsidR="00931EE5" w:rsidRDefault="001C5E67">
      <w:pPr>
        <w:pStyle w:val="FirstParagraph"/>
      </w:pPr>
      <w:r>
        <w:t xml:space="preserve">Summary </w:t>
      </w:r>
      <w:r>
        <w:t>Overall, egg size and egg number declined substantially between clutches. Persistent differences among females generated a moderate negative association between mean egg size and number, whereas there was no evidence for a consistent within-female trade-off once clutch order was accounted for. These results indicate that apparent number–size trade-offs arise primarily from stable among-female differences rather than dynamic allocation decisions within females.</w:t>
      </w:r>
    </w:p>
    <w:p w14:paraId="0DDF454D" w14:textId="77777777" w:rsidR="00931EE5" w:rsidRDefault="001C5E67">
      <w:pPr>
        <w:pStyle w:val="BodyText"/>
      </w:pPr>
      <w:r>
        <w:t>My multivariate repeated-measures analysis of clutch and egg size found no evidence that female European earwigs trade off egg number and egg size. Despite failing to support general life history theory (Roff 1992; Stearns 1992) and contradicting the results of a previous study in this species (Koch and Meunier 2014), it is the first, to my knowledge, to partition the phenotypic correlation between egg number and size into its among- and within-individual components. Although many studies have supported the</w:t>
      </w:r>
      <w:r>
        <w:t xml:space="preserve"> prediction that egg number and size trade off, some have not (Roff 1992; Fox and Czesak 2000). Because these previous studies relied on phenotypic correlations to examine the relationship between egg number and size, it is not possible to assess the extent to which this prediction is empirically supported across taxa, given the propensity for </w:t>
      </w:r>
      <w:r>
        <w:lastRenderedPageBreak/>
        <w:t xml:space="preserve">phenotypic correlations to generate spurious and misleading associations. For example, Koch and Meunier (2014) showed that, in an Italian population of </w:t>
      </w:r>
      <w:r>
        <w:rPr>
          <w:i/>
          <w:iCs/>
        </w:rPr>
        <w:t>F. auricularia</w:t>
      </w:r>
      <w:r>
        <w:t>,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lead to Simpson’s Paradox (Simpson 1951) and spurious correlations because within-individual relationships are masked by among-individual variation. Indeed, I also observed a negative, albeit weake</w:t>
      </w:r>
      <w:r>
        <w:t>r, correlation at the phenotypic level. However, by partitioning the variance into its among- and within-individual components, I found that females do not make the predicted trade-off. Rather, I found evidence that egg number and size are positively correlated within females.</w:t>
      </w:r>
    </w:p>
    <w:p w14:paraId="4972660D" w14:textId="77777777" w:rsidR="00931EE5" w:rsidRDefault="001C5E67">
      <w:pPr>
        <w:pStyle w:val="BodyText"/>
      </w:pPr>
      <w:r>
        <w:t xml:space="preserve">My study revealed that second clutches comprised, on average, fewer and smaller eggs than first clutches, which can be explained at both the proximate and ultimate levels of causation. My findings are consistent with those of another study on a Montreal population (Tourneur and Gingras 1992) and with one involving an Italian population (Koch and Meunier 2014). Tourneur and Gingras (1992) proximally attributed the fewer, smaller eggs in second clutches to ovarian structure and function in </w:t>
      </w:r>
      <w:r>
        <w:rPr>
          <w:i/>
          <w:iCs/>
        </w:rPr>
        <w:t>F. auricularia</w:t>
      </w:r>
      <w:r>
        <w:t>. Specifically, they suggested that second clutches are smaller than first ones because some (or all) oviarioles become non-functional and thus produce no eggs after the first clutch. This reduction in ovariole number might explain the smaller second clutches that I observed here, but why did females not produce larger eggs and thus exhibit the expected number-size trade-off? One possibility is that females had a shallower resource pool from which to build eggs for the second clutch, for examp</w:t>
      </w:r>
      <w:r>
        <w:t xml:space="preserve">le, because they had less time to accumulate reproductive resources for the second clutch than for the first. Females in the wild </w:t>
      </w:r>
      <w:r>
        <w:lastRenderedPageBreak/>
        <w:t>presumably spent from mid-spring to mid-fall acquiring resources for reproduction, while they had only about a month in the laboratory to do so for the second one. Hence, by partitioning their fewer resources equally to each functional ovariole during their second bout of oogenesis, females produced fewer and smaller eggs than in their first clutches. This proximate explanation a</w:t>
      </w:r>
      <w:r>
        <w:t>ssumes that females use a resource-allocation strategy for eggs that does not vary across their clutches.</w:t>
      </w:r>
    </w:p>
    <w:p w14:paraId="44C1DAB6" w14:textId="77777777" w:rsidR="00931EE5" w:rsidRDefault="001C5E67">
      <w:pPr>
        <w:pStyle w:val="BodyText"/>
      </w:pPr>
      <w:r>
        <w:t>Producing fewer but smaller eggs seems like a costly fitness decision since, in most animal taxa, larger eggs generally have a higher probability of hatching and producing larger offspring, which, in turn, have a higher probability of surviving to adulthood (e.g. birds: Williams 1994; amphibians: Ficetola and De Bernardi 2009; reptiles: Nelson et al. 2004; fish: Einum and Fleming 2000). Although this does not appear to be the typical case in insects (Church et al. 2019), larger eggs are more likely to hatch</w:t>
      </w:r>
      <w:r>
        <w:t xml:space="preserve"> and to produce larger nymphs in </w:t>
      </w:r>
      <w:r>
        <w:rPr>
          <w:i/>
          <w:iCs/>
        </w:rPr>
        <w:t>F. auricularia</w:t>
      </w:r>
      <w:r>
        <w:t xml:space="preserve"> (Koch and Meunier 2014), so egg size appears to ultimately have some positive fitness effects for the mother and offspring in this species. Therefore, the smaller earwig eggs in the second clutch by female </w:t>
      </w:r>
      <w:r>
        <w:rPr>
          <w:i/>
          <w:iCs/>
        </w:rPr>
        <w:t>F. auricularia</w:t>
      </w:r>
      <w:r>
        <w:t xml:space="preserve"> might have reduced fitness, except for two extenuating factors. First, maternal care in this species likely improves the survival chances of smaller eggs (Kölliker 2007; e.g., Boos et al. 2014), and the poor outcomes commonly associated with s</w:t>
      </w:r>
      <w:r>
        <w:t xml:space="preserve">maller nymphs might be mitigated by maternal provisioning (Staerkle and Kölliker 2008). Second, smaller eggs tend to hatch faster as development time is positively related to egg size across animal species (Shine 1978). This would be advantageous if a second clutch is produced later in the reproductive season, such as mid-winter, because it would mean the eggs would hatch at a time of year (e.g., late-winter) that allows nymphs to emerge at an optimal time in spring. Empirical evidence, </w:t>
      </w:r>
      <w:r>
        <w:lastRenderedPageBreak/>
        <w:t>however, suggests th</w:t>
      </w:r>
      <w:r>
        <w:t xml:space="preserve">at time-to-hatch is unrelated to egg mass in at least one (Italian) population of </w:t>
      </w:r>
      <w:r>
        <w:rPr>
          <w:i/>
          <w:iCs/>
        </w:rPr>
        <w:t>F. auricularia</w:t>
      </w:r>
      <w:r>
        <w:t xml:space="preserve"> (Koch and Meunier 2014). This latter population, however, is from a more temperate locale than Montreal, which experiences a milder climate and thus perhaps less intense selection on reduced development time. I did not find the predicted positive among-female correlation between clutch and egg size. Rather, the weak negative among-individual correlation between clutch and egg size suggests that variance in resou</w:t>
      </w:r>
      <w:r>
        <w:t>rce allocation may exceed variance in resource acquisition in this population of earwigs (see Careau and Wilson 2017). In other words, some female earwigs in my study population might prioritise investment in egg number versus egg size and vice versa. Taken together, my results resemble Careau and Wilson’s (2017) “sink or swim” scenario, which is generally reserved for performance trade-offs. That is, females in my population of earwigs might ultimately produce an among-female (albeit weak) trade-off due to</w:t>
      </w:r>
      <w:r>
        <w:t xml:space="preserve"> differences among females in how they allocate resources to clutch and egg size, with some females prioritising egg number over size, while also producing a positive residual correlation due to a combination of ovary (dis)function, and the equal apportionment of fewer resources to eggs. Further research is needed to identify the proximate mechanisms underlying the observed multilevel correlation patterns.</w:t>
      </w:r>
    </w:p>
    <w:p w14:paraId="5BF057B9" w14:textId="77777777" w:rsidR="00931EE5" w:rsidRDefault="001C5E67">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 (e.g. Falconer and MacKay 1996). This would not be surprising as egg size has been demonstrated to be significantly heritable in a variety of insect species, including </w:t>
      </w:r>
      <w:r>
        <w:rPr>
          <w:i/>
          <w:iCs/>
        </w:rPr>
        <w:t>Callosobruchus chinensis</w:t>
      </w:r>
      <w:r>
        <w:t xml:space="preserve"> seed beetles (Yanagi et al. 2006), </w:t>
      </w:r>
      <w:r>
        <w:rPr>
          <w:i/>
          <w:iCs/>
        </w:rPr>
        <w:t>Parnara guttata guttata</w:t>
      </w:r>
      <w:r>
        <w:t xml:space="preserve"> butterflies (Seko et al. 2006), </w:t>
      </w:r>
      <w:r>
        <w:rPr>
          <w:i/>
          <w:iCs/>
        </w:rPr>
        <w:lastRenderedPageBreak/>
        <w:t>Lobesia botrana</w:t>
      </w:r>
      <w:r>
        <w:t xml:space="preserve"> moths (Torres-Vila et al. 2012), and spruce budworm (</w:t>
      </w:r>
      <w:r>
        <w:rPr>
          <w:i/>
          <w:iCs/>
        </w:rPr>
        <w:t>Choristoneura fumiferana</w:t>
      </w:r>
      <w:r>
        <w:t>) (Harvey 1983). Moreover, the lack of between-female variation in average egg size between first and second clutches suggests that the food-acquisition environment (i.e. wild vs. lab) had little effect on average egg size.</w:t>
      </w:r>
    </w:p>
    <w:p w14:paraId="2E624BB8" w14:textId="77777777" w:rsidR="00931EE5" w:rsidRDefault="001C5E67">
      <w:pPr>
        <w:pStyle w:val="BodyText"/>
      </w:pPr>
      <w:r>
        <w:t>In contrast, I found evidence that variation in egg size within a clutch was greater in second clutches than in first clutches, the opposite of the pattern observed in birds. (e.g., Yosef and Zduniak 2008). Empiricists have argued that lower variation in egg size within a clutch is probably linked to environmental factors and food availability. For example, desert finches (</w:t>
      </w:r>
      <w:r>
        <w:rPr>
          <w:i/>
          <w:iCs/>
        </w:rPr>
        <w:t>Rhodopsiza obsoleta</w:t>
      </w:r>
      <w:r>
        <w:t>) produced similar-sized eggs when environmental conditions were stable (Yosef and Zduniak 2008), collared flycatchers (</w:t>
      </w:r>
      <w:r>
        <w:rPr>
          <w:i/>
          <w:iCs/>
        </w:rPr>
        <w:t>Ficedula albicollis</w:t>
      </w:r>
      <w:r>
        <w:t>) produced larger eggs with the laying sequence in favourable conditions (Hargitai et al. 2005), and blue tits (</w:t>
      </w:r>
      <w:r>
        <w:rPr>
          <w:i/>
          <w:iCs/>
        </w:rPr>
        <w:t>Paris caeruleus</w:t>
      </w:r>
      <w:r>
        <w:t>) in better nutritional condition had clutches with less variation in egg size (Nilsson and Svensson 1993). Although information on intraclutch egg-size variation and its proximal drivers is scarce in insects, the same principl</w:t>
      </w:r>
      <w:r>
        <w:t>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w:t>
      </w:r>
      <w:r>
        <w:t xml:space="preserve">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w:t>
      </w:r>
      <w:r>
        <w:lastRenderedPageBreak/>
        <w:t>variation in egg size is adaptive in birds. For example, larger eggs later in the egg-laying sequence may be a brood-survival strategy that counteracts the effects of hatching asynchrony, w</w:t>
      </w:r>
      <w:r>
        <w:t>hereas smaller eggs later in the laying sequence may be a brood-reduction strategy (Slagsvold et al. 1984). However, it is unknown whether variation in egg size has an equivalent adaptive function in insects expressing maternal care.</w:t>
      </w:r>
    </w:p>
    <w:p w14:paraId="0BFFA0D2" w14:textId="77777777" w:rsidR="00931EE5" w:rsidRDefault="001C5E67">
      <w:pPr>
        <w:pStyle w:val="BodyText"/>
      </w:pPr>
      <w:r>
        <w:t>In conclusion, by partitioning variance into its among- and within-individual components, I found that female European earwigs do not trade off clutch and egg size. Instead, I found a positive correlation between egg number and size and some evidence for an among-female trade-off. I also discovered that second clutches consist of eggs with a more variable size than first clutches, but the among-female variation in average egg size was similar between the two clutches.</w:t>
      </w:r>
    </w:p>
    <w:p w14:paraId="68C95CFF" w14:textId="77777777" w:rsidR="00931EE5" w:rsidRDefault="001C5E67">
      <w:pPr>
        <w:pStyle w:val="Heading1"/>
      </w:pPr>
      <w:bookmarkStart w:id="17" w:name="data-availability"/>
      <w:bookmarkEnd w:id="16"/>
      <w:r>
        <w:t>Data availability</w:t>
      </w:r>
    </w:p>
    <w:p w14:paraId="10019222" w14:textId="77777777" w:rsidR="00931EE5" w:rsidRDefault="001C5E67">
      <w:pPr>
        <w:pStyle w:val="FirstParagraph"/>
      </w:pPr>
      <w:r>
        <w:t>Data are available through the OSF repository at 10.17605/OSF.IO/KWCS8.</w:t>
      </w:r>
    </w:p>
    <w:p w14:paraId="274FE09E" w14:textId="77777777" w:rsidR="00931EE5" w:rsidRDefault="001C5E67">
      <w:pPr>
        <w:pStyle w:val="Heading1"/>
      </w:pPr>
      <w:bookmarkStart w:id="18" w:name="author-contributions"/>
      <w:bookmarkEnd w:id="17"/>
      <w:r>
        <w:t>Author contributions</w:t>
      </w:r>
    </w:p>
    <w:p w14:paraId="3E68E511" w14:textId="77777777" w:rsidR="00931EE5" w:rsidRDefault="001C5E67">
      <w:pPr>
        <w:pStyle w:val="FirstParagraph"/>
      </w:pPr>
      <w:r>
        <w:t>CDK collected and analyzed the data, and wrote the manuscript.</w:t>
      </w:r>
    </w:p>
    <w:p w14:paraId="59288495" w14:textId="77777777" w:rsidR="00931EE5" w:rsidRDefault="001C5E67">
      <w:pPr>
        <w:pStyle w:val="Heading1"/>
      </w:pPr>
      <w:bookmarkStart w:id="19" w:name="funding"/>
      <w:bookmarkEnd w:id="18"/>
      <w:r>
        <w:t>Funding</w:t>
      </w:r>
    </w:p>
    <w:p w14:paraId="027325F1" w14:textId="77777777" w:rsidR="00931EE5" w:rsidRDefault="001C5E67">
      <w:pPr>
        <w:pStyle w:val="FirstParagraph"/>
      </w:pPr>
      <w:r>
        <w:t>The study was funded by a Discovery Grant from the Natural Sciences and Engineering Research Council of Canada (NSERC).</w:t>
      </w:r>
    </w:p>
    <w:p w14:paraId="168351EA" w14:textId="77777777" w:rsidR="00931EE5" w:rsidRDefault="001C5E67">
      <w:pPr>
        <w:pStyle w:val="Heading1"/>
      </w:pPr>
      <w:bookmarkStart w:id="20" w:name="conflict-of-interest"/>
      <w:bookmarkEnd w:id="19"/>
      <w:r>
        <w:lastRenderedPageBreak/>
        <w:t>Conflict of Interest</w:t>
      </w:r>
    </w:p>
    <w:p w14:paraId="46EA3CCD" w14:textId="77777777" w:rsidR="00931EE5" w:rsidRDefault="001C5E67">
      <w:pPr>
        <w:pStyle w:val="FirstParagraph"/>
      </w:pPr>
      <w:r>
        <w:t>I declare no conflict of interest.</w:t>
      </w:r>
    </w:p>
    <w:p w14:paraId="232B5732" w14:textId="77777777" w:rsidR="00931EE5" w:rsidRDefault="001C5E67">
      <w:pPr>
        <w:pStyle w:val="Heading1"/>
      </w:pPr>
      <w:bookmarkStart w:id="21" w:name="acknowledgements"/>
      <w:bookmarkEnd w:id="20"/>
      <w:r>
        <w:t>Acknowledgements</w:t>
      </w:r>
    </w:p>
    <w:p w14:paraId="50BCE105" w14:textId="77777777" w:rsidR="00931EE5" w:rsidRDefault="001C5E67">
      <w:pPr>
        <w:pStyle w:val="FirstParagraph"/>
      </w:pPr>
      <w:r>
        <w:t>I thank Andréanne Nault and Clara Smythe for assistance in animal care and data collection.</w:t>
      </w:r>
    </w:p>
    <w:p w14:paraId="79115E12" w14:textId="77777777" w:rsidR="00931EE5" w:rsidRDefault="001C5E67">
      <w:r>
        <w:br w:type="page"/>
      </w:r>
    </w:p>
    <w:p w14:paraId="2A52CFE7" w14:textId="77777777" w:rsidR="00931EE5" w:rsidRDefault="001C5E67">
      <w:pPr>
        <w:pStyle w:val="Heading1"/>
      </w:pPr>
      <w:bookmarkStart w:id="22" w:name="references"/>
      <w:bookmarkEnd w:id="21"/>
      <w:r>
        <w:lastRenderedPageBreak/>
        <w:t>References</w:t>
      </w:r>
    </w:p>
    <w:p w14:paraId="45FE9208" w14:textId="77777777" w:rsidR="00931EE5" w:rsidRDefault="001C5E67">
      <w:pPr>
        <w:pStyle w:val="Bibliography"/>
      </w:pPr>
      <w:bookmarkStart w:id="23" w:name="ref-bernardo1996"/>
      <w:bookmarkStart w:id="24" w:name="refs"/>
      <w:r>
        <w:t>Bernardo, J. 1996. The particular maternal effect of propagule size, especially egg size: Patterns, models, quality of evidence and interpretations. Am Zool 36:216–236.</w:t>
      </w:r>
    </w:p>
    <w:p w14:paraId="523510D3" w14:textId="77777777" w:rsidR="00931EE5" w:rsidRDefault="001C5E67">
      <w:pPr>
        <w:pStyle w:val="Bibliography"/>
      </w:pPr>
      <w:bookmarkStart w:id="25" w:name="ref-boos2014"/>
      <w:bookmarkEnd w:id="23"/>
      <w:r>
        <w:t>Boos, S., J. Meunier, S. Pichon, and M. Kölliker. 2014. Maternal care provides antifungal protection to eggs in the european earwig. Behav Ecol 25:754–761.</w:t>
      </w:r>
    </w:p>
    <w:p w14:paraId="58D35946" w14:textId="77777777" w:rsidR="00931EE5" w:rsidRDefault="001C5E67">
      <w:pPr>
        <w:pStyle w:val="Bibliography"/>
      </w:pPr>
      <w:bookmarkStart w:id="26" w:name="ref-burkner2017"/>
      <w:bookmarkEnd w:id="25"/>
      <w:r>
        <w:t>Bürkner, P.-C. 2017. brms: An R package for Bayesian multilevel models using Stan. Journal of Statistical Software 80:4308.</w:t>
      </w:r>
    </w:p>
    <w:p w14:paraId="3F14BE7A" w14:textId="77777777" w:rsidR="00931EE5" w:rsidRDefault="001C5E67">
      <w:pPr>
        <w:pStyle w:val="Bibliography"/>
      </w:pPr>
      <w:bookmarkStart w:id="27" w:name="ref-careau2017"/>
      <w:bookmarkEnd w:id="26"/>
      <w:r>
        <w:t>Careau, V., and R. Wilson. 2017. Of uberfleas and krakens: Detecting trade-offs using mixed models. Integr Comp Biol 57:362–371.</w:t>
      </w:r>
    </w:p>
    <w:p w14:paraId="19DC2551" w14:textId="77777777" w:rsidR="00931EE5" w:rsidRDefault="001C5E67">
      <w:pPr>
        <w:pStyle w:val="Bibliography"/>
      </w:pPr>
      <w:bookmarkStart w:id="28" w:name="ref-cavaleiro2014"/>
      <w:bookmarkEnd w:id="27"/>
      <w:r>
        <w:t>Cavaleiro, F. I., and M. J. Santos. 2014. Egg number-egg size: An important trade-off in parasite life history strategies. Int J Parasitol 44:173–182.</w:t>
      </w:r>
    </w:p>
    <w:p w14:paraId="2D90437B" w14:textId="77777777" w:rsidR="00931EE5" w:rsidRDefault="001C5E67">
      <w:pPr>
        <w:pStyle w:val="Bibliography"/>
      </w:pPr>
      <w:bookmarkStart w:id="29" w:name="ref-church2019"/>
      <w:bookmarkEnd w:id="28"/>
      <w:r>
        <w:t>Church, S. H., S. Donoughe, B. A. S. de Medeiros, and C. G. Extavour. 2019. Insect egg size and shape evolve with ecology but not developmental rate. Nature 571:58–62.</w:t>
      </w:r>
    </w:p>
    <w:p w14:paraId="1279A239" w14:textId="77777777" w:rsidR="00931EE5" w:rsidRDefault="001C5E67">
      <w:pPr>
        <w:pStyle w:val="Bibliography"/>
      </w:pPr>
      <w:bookmarkStart w:id="30" w:name="ref-clutton-brock1984"/>
      <w:bookmarkEnd w:id="29"/>
      <w:r>
        <w:t>Clutton-Brock, T. H. 1984. Reproductive effort and terminal investment in iteroparous animals. Am Nat 123:212–229.</w:t>
      </w:r>
    </w:p>
    <w:p w14:paraId="5F5124B2" w14:textId="77777777" w:rsidR="00931EE5" w:rsidRDefault="001C5E67">
      <w:pPr>
        <w:pStyle w:val="Bibliography"/>
      </w:pPr>
      <w:bookmarkStart w:id="31" w:name="ref-clutton-brock1991"/>
      <w:bookmarkEnd w:id="30"/>
      <w:r>
        <w:t>Clutton-Brock, T. H. 1991. The Evolution of Parental Care. Princeton University Press.</w:t>
      </w:r>
    </w:p>
    <w:p w14:paraId="46F99F26" w14:textId="77777777" w:rsidR="00931EE5" w:rsidRDefault="001C5E67">
      <w:pPr>
        <w:pStyle w:val="Bibliography"/>
      </w:pPr>
      <w:bookmarkStart w:id="32" w:name="ref-einum2000"/>
      <w:bookmarkEnd w:id="31"/>
      <w:r>
        <w:t>Einum, S., and I. A. Fleming. 2000. Highly fecund mothers sacrifice offspring survival to maximize fitness. Nature 405:565–567.</w:t>
      </w:r>
    </w:p>
    <w:p w14:paraId="715B5084" w14:textId="77777777" w:rsidR="00931EE5" w:rsidRDefault="001C5E67">
      <w:pPr>
        <w:pStyle w:val="Bibliography"/>
      </w:pPr>
      <w:bookmarkStart w:id="33" w:name="ref-falconer1996"/>
      <w:bookmarkEnd w:id="32"/>
      <w:r>
        <w:t>Falconer, D. S., and T. F. C. MacKay. 1996. An Introduction Quantitative Genetics. Pearson Education Limited, Essex, England.</w:t>
      </w:r>
    </w:p>
    <w:p w14:paraId="572CBE61" w14:textId="77777777" w:rsidR="00931EE5" w:rsidRDefault="001C5E67">
      <w:pPr>
        <w:pStyle w:val="Bibliography"/>
      </w:pPr>
      <w:bookmarkStart w:id="34" w:name="ref-ficetola2009"/>
      <w:bookmarkEnd w:id="33"/>
      <w:r>
        <w:t>Ficetola, G. F., and F. De Bernardi. 2009. Offspring size and survival in the frog rana latastei: From among-population to within-clutch variation. Biol J Linn Soc 97:845–853.</w:t>
      </w:r>
    </w:p>
    <w:p w14:paraId="6A9074C4" w14:textId="77777777" w:rsidR="00931EE5" w:rsidRDefault="001C5E67">
      <w:pPr>
        <w:pStyle w:val="Bibliography"/>
      </w:pPr>
      <w:bookmarkStart w:id="35" w:name="ref-fox2000"/>
      <w:bookmarkEnd w:id="34"/>
      <w:r>
        <w:t>Fox, C. W., and M. E. Czesak. 2000. Evolutionary ecology of progeny size in arthropods. Annu Rev Entomol 45:341–369.</w:t>
      </w:r>
    </w:p>
    <w:p w14:paraId="42DC61C3" w14:textId="77777777" w:rsidR="00931EE5" w:rsidRDefault="001C5E67">
      <w:pPr>
        <w:pStyle w:val="Bibliography"/>
      </w:pPr>
      <w:bookmarkStart w:id="36" w:name="ref-hargitai2005"/>
      <w:bookmarkEnd w:id="35"/>
      <w:r>
        <w:t>Hargitai, R., J. Török, L. Tóth, G. Hegyi, B. Rosivall, B. Szigeti, and E. Szöllősi. 2005. Effects of environmental conditions and parental quality on inter-and intraclutch egg-size variation in the collared flycatcher (ficedula albicollis). The Auk 122:509–522.</w:t>
      </w:r>
    </w:p>
    <w:p w14:paraId="1B9F5886" w14:textId="77777777" w:rsidR="00931EE5" w:rsidRDefault="001C5E67">
      <w:pPr>
        <w:pStyle w:val="Bibliography"/>
      </w:pPr>
      <w:bookmarkStart w:id="37" w:name="ref-harvey1983"/>
      <w:bookmarkEnd w:id="36"/>
      <w:r>
        <w:t>Harvey, G. T. 1983. Environmental and genetic effects on mean egg weight in spruce budworm (lepidoptera: tortricidae). The Canadian Entomologist 115:1109–1117.</w:t>
      </w:r>
    </w:p>
    <w:p w14:paraId="4B13C89F" w14:textId="77777777" w:rsidR="00931EE5" w:rsidRDefault="001C5E67">
      <w:pPr>
        <w:pStyle w:val="Bibliography"/>
      </w:pPr>
      <w:bookmarkStart w:id="38" w:name="ref-kelly2014"/>
      <w:bookmarkEnd w:id="37"/>
      <w:r>
        <w:t>Kelly, C. D., B. Tawes, and A. Worthington. 2014. Evaluating indices of body condition in two cricket species. Ecology and Evolution 4:4476–4487.</w:t>
      </w:r>
    </w:p>
    <w:p w14:paraId="51046197" w14:textId="77777777" w:rsidR="00931EE5" w:rsidRDefault="001C5E67">
      <w:pPr>
        <w:pStyle w:val="Bibliography"/>
      </w:pPr>
      <w:bookmarkStart w:id="39" w:name="ref-koch2014"/>
      <w:bookmarkEnd w:id="38"/>
      <w:r>
        <w:lastRenderedPageBreak/>
        <w:t>Koch, L. K., and J. Meunier. 2014. Mother and offspring fitness in an insect with maternal care: Phenotypic trade-offs between egg number, egg mass and egg care. BMC Evol Biol 14:125.</w:t>
      </w:r>
    </w:p>
    <w:p w14:paraId="3020B1ED" w14:textId="77777777" w:rsidR="00931EE5" w:rsidRDefault="001C5E67">
      <w:pPr>
        <w:pStyle w:val="Bibliography"/>
      </w:pPr>
      <w:bookmarkStart w:id="40" w:name="ref-kolliker2007"/>
      <w:bookmarkEnd w:id="39"/>
      <w:r>
        <w:t>Kölliker, M. 2007. Benefits and costs of earwig (forficula auricularia) family life. Behav Ecol Sociobiol 61:1489–1497.</w:t>
      </w:r>
    </w:p>
    <w:p w14:paraId="7156A34B" w14:textId="77777777" w:rsidR="00931EE5" w:rsidRDefault="001C5E67">
      <w:pPr>
        <w:pStyle w:val="Bibliography"/>
      </w:pPr>
      <w:bookmarkStart w:id="41" w:name="ref-meunier2024"/>
      <w:bookmarkEnd w:id="40"/>
      <w:r>
        <w:t>Meunier, J. 2024. The biology and social life of earwigs (dermaptera). Annu Rev Entomol 69:259–276.</w:t>
      </w:r>
    </w:p>
    <w:p w14:paraId="23C3580D" w14:textId="77777777" w:rsidR="00931EE5" w:rsidRDefault="001C5E67">
      <w:pPr>
        <w:pStyle w:val="Bibliography"/>
      </w:pPr>
      <w:bookmarkStart w:id="42" w:name="ref-nelson2004"/>
      <w:bookmarkEnd w:id="41"/>
      <w:r>
        <w:t>Nelson, N. J., M. B. Thompson, S. Pledger, S. N. Keall, and C. H. Daugherty. 2004. Egg mass determines hatchling size, and incubation temperature influences post‐hatching growth, of tuatara sphenodon punctatus. J Zool 263:77–87.</w:t>
      </w:r>
    </w:p>
    <w:p w14:paraId="1815C277" w14:textId="77777777" w:rsidR="00931EE5" w:rsidRDefault="001C5E67">
      <w:pPr>
        <w:pStyle w:val="Bibliography"/>
      </w:pPr>
      <w:bookmarkStart w:id="43" w:name="ref-nilsson1993"/>
      <w:bookmarkEnd w:id="42"/>
      <w:r>
        <w:t>Nilsson, J. ‐Å., and E. Svensson. 1993. Causes and consequences of egg mass variation between and within blue tit clutches. J Zool 230:469–481.</w:t>
      </w:r>
    </w:p>
    <w:p w14:paraId="15D21D9C" w14:textId="77777777" w:rsidR="00931EE5" w:rsidRDefault="001C5E67">
      <w:pPr>
        <w:pStyle w:val="Bibliography"/>
      </w:pPr>
      <w:bookmarkStart w:id="44" w:name="ref-parker1982"/>
      <w:bookmarkEnd w:id="43"/>
      <w:r>
        <w:t>Parker, G. A. 1982. Why are there so many tiny sperm? Sperm competition and the maintenance of two sexes. J Theor Biol 96:281–294.</w:t>
      </w:r>
    </w:p>
    <w:p w14:paraId="38C69D00" w14:textId="77777777" w:rsidR="00931EE5" w:rsidRDefault="001C5E67">
      <w:pPr>
        <w:pStyle w:val="Bibliography"/>
      </w:pPr>
      <w:bookmarkStart w:id="45" w:name="ref-peig2009"/>
      <w:bookmarkEnd w:id="44"/>
      <w:r>
        <w:t>Peig, J., and A. J. Green. 2009. New perspectives for estimating body condition from mass/length data: The scaled mass index as an alternative method. Oikos 118:1883–1891.</w:t>
      </w:r>
    </w:p>
    <w:p w14:paraId="3681CCBC" w14:textId="77777777" w:rsidR="00931EE5" w:rsidRDefault="001C5E67">
      <w:pPr>
        <w:pStyle w:val="Bibliography"/>
      </w:pPr>
      <w:bookmarkStart w:id="46" w:name="ref-peig2010"/>
      <w:bookmarkEnd w:id="45"/>
      <w:r>
        <w:t>Peig, J., and A. J. Green. 2010. The paradigm of body condition: A critical reappraisal of current methods based on mass and length. Funct Ecol 24:1323–1332.</w:t>
      </w:r>
    </w:p>
    <w:p w14:paraId="2C9829EE" w14:textId="77777777" w:rsidR="00931EE5" w:rsidRDefault="001C5E67">
      <w:pPr>
        <w:pStyle w:val="Bibliography"/>
      </w:pPr>
      <w:bookmarkStart w:id="47" w:name="ref-r2013"/>
      <w:bookmarkEnd w:id="46"/>
      <w:r>
        <w:t>R Core Team. 2025. R: A language and environment for statistical computing. Vienna, Austria.</w:t>
      </w:r>
    </w:p>
    <w:p w14:paraId="648D5CEF" w14:textId="77777777" w:rsidR="00931EE5" w:rsidRDefault="001C5E67">
      <w:pPr>
        <w:pStyle w:val="Bibliography"/>
      </w:pPr>
      <w:bookmarkStart w:id="48" w:name="ref-reznick2000"/>
      <w:bookmarkEnd w:id="47"/>
      <w:r>
        <w:t>Reznick, D., L. Nunney, and A. Tessier. 2000. Big houses, big cars, superfleas and the costs of reproduction. Trends Ecol Evol 15:421–425.</w:t>
      </w:r>
    </w:p>
    <w:p w14:paraId="1E3335FC" w14:textId="77777777" w:rsidR="00931EE5" w:rsidRDefault="001C5E67">
      <w:pPr>
        <w:pStyle w:val="Bibliography"/>
      </w:pPr>
      <w:bookmarkStart w:id="49" w:name="ref-roff1992a"/>
      <w:bookmarkEnd w:id="48"/>
      <w:r>
        <w:t>Roff, D. 1992. Evolution of Life Histories: Theory and Analysis. Chapman &amp; Hall, Inc., New York, NY.</w:t>
      </w:r>
    </w:p>
    <w:p w14:paraId="2DAAD35F" w14:textId="77777777" w:rsidR="00931EE5" w:rsidRDefault="001C5E67">
      <w:pPr>
        <w:pStyle w:val="Bibliography"/>
      </w:pPr>
      <w:bookmarkStart w:id="50" w:name="ref-schindelin2012"/>
      <w:bookmarkEnd w:id="49"/>
      <w:r>
        <w:t>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p w14:paraId="0D7BC0A7" w14:textId="77777777" w:rsidR="00931EE5" w:rsidRDefault="001C5E67">
      <w:pPr>
        <w:pStyle w:val="Bibliography"/>
      </w:pPr>
      <w:bookmarkStart w:id="51" w:name="ref-seko2006"/>
      <w:bookmarkEnd w:id="50"/>
      <w:r>
        <w:t>Seko, T., T. Miyatake, S. Fujioka, and F. Nakasuji. 2006. Genetic and environmental sources of egg size, fecundity and body size in the migrant skipper, parnara guttata guttata (lepidoptera: hesperiidae). Popul Ecol 48:225–232.</w:t>
      </w:r>
    </w:p>
    <w:p w14:paraId="5F9A71AD" w14:textId="77777777" w:rsidR="00931EE5" w:rsidRDefault="001C5E67">
      <w:pPr>
        <w:pStyle w:val="Bibliography"/>
      </w:pPr>
      <w:bookmarkStart w:id="52" w:name="ref-shine1978"/>
      <w:bookmarkEnd w:id="51"/>
      <w:r>
        <w:t>Shine, R. 1978. Propagule size and parental care: The “safe harbor” hypothesis. J Theor Biol 75:417–424.</w:t>
      </w:r>
    </w:p>
    <w:p w14:paraId="4307DDBA" w14:textId="77777777" w:rsidR="00931EE5" w:rsidRDefault="001C5E67">
      <w:pPr>
        <w:pStyle w:val="Bibliography"/>
      </w:pPr>
      <w:bookmarkStart w:id="53" w:name="ref-simpson1951"/>
      <w:bookmarkEnd w:id="52"/>
      <w:r>
        <w:lastRenderedPageBreak/>
        <w:t>Simpson, E. H. 1951. The interpretation of interaction in contingency tables. Journal of the Royal Statistical Society: Series B (Methodological) 13:238–241.</w:t>
      </w:r>
    </w:p>
    <w:p w14:paraId="1FD20748" w14:textId="77777777" w:rsidR="00931EE5" w:rsidRDefault="001C5E67">
      <w:pPr>
        <w:pStyle w:val="Bibliography"/>
      </w:pPr>
      <w:bookmarkStart w:id="54" w:name="ref-slagsvold1984"/>
      <w:bookmarkEnd w:id="53"/>
      <w:r>
        <w:t>Slagsvold, T., J. Sandvik, G. Rofstad, Ö. Lorentsen, and M. Husby. 1984. On the adaptive value of intraclutch egg-size variation in birds. The Auk 101:685–697.</w:t>
      </w:r>
    </w:p>
    <w:p w14:paraId="576E1F69" w14:textId="77777777" w:rsidR="00931EE5" w:rsidRDefault="001C5E67">
      <w:pPr>
        <w:pStyle w:val="Bibliography"/>
      </w:pPr>
      <w:bookmarkStart w:id="55" w:name="ref-smith1974"/>
      <w:bookmarkEnd w:id="54"/>
      <w:r>
        <w:t>Smith, C. C., and S. D. Fretwell. 1974. The optimal balance between size and number of offspring. Am Nat 108:499–506.</w:t>
      </w:r>
    </w:p>
    <w:p w14:paraId="36B7D936" w14:textId="77777777" w:rsidR="00931EE5" w:rsidRDefault="001C5E67">
      <w:pPr>
        <w:pStyle w:val="Bibliography"/>
      </w:pPr>
      <w:bookmarkStart w:id="56" w:name="ref-staerkle2008"/>
      <w:bookmarkEnd w:id="55"/>
      <w:r>
        <w:t>Staerkle, M., and M. Kölliker. 2008. Maternal food regurgitation to nymphs in earwigs (</w:t>
      </w:r>
      <w:r>
        <w:rPr>
          <w:i/>
          <w:iCs/>
        </w:rPr>
        <w:t>forficula auricularia</w:t>
      </w:r>
      <w:r>
        <w:t>). Ethology 114:844–850.</w:t>
      </w:r>
    </w:p>
    <w:p w14:paraId="4614ACD5" w14:textId="77777777" w:rsidR="00931EE5" w:rsidRDefault="001C5E67">
      <w:pPr>
        <w:pStyle w:val="Bibliography"/>
      </w:pPr>
      <w:bookmarkStart w:id="57" w:name="ref-stearns1992"/>
      <w:bookmarkEnd w:id="56"/>
      <w:r>
        <w:t>Stearns, S. C. 1992. The Evolution of Life Histories. Oxford University Press.</w:t>
      </w:r>
    </w:p>
    <w:p w14:paraId="22373468" w14:textId="77777777" w:rsidR="00931EE5" w:rsidRDefault="001C5E67">
      <w:pPr>
        <w:pStyle w:val="Bibliography"/>
      </w:pPr>
      <w:bookmarkStart w:id="58" w:name="ref-stoffel2017"/>
      <w:bookmarkEnd w:id="57"/>
      <w:r>
        <w:t>Stoffel, M. A., S. Nakagawa, and H. Schielzeth. 2017. RptR</w:t>
      </w:r>
      <w:r>
        <w:t>: Repeatability estimation and variance decomposition by generalized linear mixed‐effects models. Methods Ecol Evol 8:1639–1644.</w:t>
      </w:r>
    </w:p>
    <w:p w14:paraId="3AE24922" w14:textId="77777777" w:rsidR="00931EE5" w:rsidRDefault="001C5E67">
      <w:pPr>
        <w:pStyle w:val="Bibliography"/>
      </w:pPr>
      <w:bookmarkStart w:id="59" w:name="ref-torres-vila2012"/>
      <w:bookmarkEnd w:id="58"/>
      <w:r>
        <w:t xml:space="preserve">Torres-Vila, L., E. Cruces-Caldera, M. Rodrı́guez-Molina, and L. Cauterruccio. 2012. Host plant selects for egg size in the moth lobesia botrana: Integrating reproductive and ecological trade-offs is not a simple matter. Pp. 145–167 </w:t>
      </w:r>
      <w:r>
        <w:rPr>
          <w:i/>
          <w:iCs/>
        </w:rPr>
        <w:t>in</w:t>
      </w:r>
      <w:r>
        <w:t xml:space="preserve"> L. Cauterruccio, ed. Moths: Types, ecological significance and control methods. Nova Science Publishers, New York, NY.</w:t>
      </w:r>
    </w:p>
    <w:p w14:paraId="161C5E8B" w14:textId="77777777" w:rsidR="00931EE5" w:rsidRDefault="001C5E67">
      <w:pPr>
        <w:pStyle w:val="Bibliography"/>
      </w:pPr>
      <w:bookmarkStart w:id="60" w:name="ref-tourneur2018"/>
      <w:bookmarkEnd w:id="59"/>
      <w:r>
        <w:t xml:space="preserve">Tourneur, J.-C. 2018. Factors affecting the egg-laying pattern of </w:t>
      </w:r>
      <w:r>
        <w:rPr>
          <w:i/>
          <w:iCs/>
        </w:rPr>
        <w:t>forficula auricularia</w:t>
      </w:r>
      <w:r>
        <w:t xml:space="preserve"> (dermaptera: Forficulidae) in three climatologically different zones of north america. The Canadian Entomologist 150:511–519.</w:t>
      </w:r>
    </w:p>
    <w:p w14:paraId="5963AF05" w14:textId="77777777" w:rsidR="00931EE5" w:rsidRDefault="001C5E67">
      <w:pPr>
        <w:pStyle w:val="Bibliography"/>
      </w:pPr>
      <w:bookmarkStart w:id="61" w:name="ref-tourneur1992"/>
      <w:bookmarkEnd w:id="60"/>
      <w:r>
        <w:t xml:space="preserve">Tourneur, J.-C., and J. Gingras. 1992. Egg laying in a northeastern North American (montréal, québec) population of </w:t>
      </w:r>
      <w:r>
        <w:rPr>
          <w:i/>
          <w:iCs/>
        </w:rPr>
        <w:t>forficula auricularia</w:t>
      </w:r>
      <w:r>
        <w:t xml:space="preserve"> l. (Dermaptera: Forficulidae). The Canadian Entomologist 124:1055–1061.</w:t>
      </w:r>
    </w:p>
    <w:p w14:paraId="603E3951" w14:textId="77777777" w:rsidR="00931EE5" w:rsidRDefault="001C5E67">
      <w:pPr>
        <w:pStyle w:val="Bibliography"/>
      </w:pPr>
      <w:bookmarkStart w:id="62" w:name="ref-vannoordwijk1986"/>
      <w:bookmarkEnd w:id="61"/>
      <w:r>
        <w:t>Van Noordwijk, A. J., and G. de Jong. 1986. Acquisition and allocation of resources: Their influence on variation in life history tactics. Am Nat 128:137–142.</w:t>
      </w:r>
    </w:p>
    <w:p w14:paraId="4E29C4D9" w14:textId="77777777" w:rsidR="00931EE5" w:rsidRDefault="001C5E67">
      <w:pPr>
        <w:pStyle w:val="Bibliography"/>
      </w:pPr>
      <w:bookmarkStart w:id="63" w:name="ref-williams1994"/>
      <w:bookmarkEnd w:id="62"/>
      <w:r>
        <w:t>Williams, T. D. 1994. Intraspecific variation in egg size and egg composition in birds: Effects on offspring fitness. Biol Rev Camb Philos Soc 69:35–59.</w:t>
      </w:r>
    </w:p>
    <w:p w14:paraId="33718C4E" w14:textId="77777777" w:rsidR="00931EE5" w:rsidRDefault="001C5E67">
      <w:pPr>
        <w:pStyle w:val="Bibliography"/>
      </w:pPr>
      <w:bookmarkStart w:id="64" w:name="ref-winkler1987"/>
      <w:bookmarkEnd w:id="63"/>
      <w:r>
        <w:t>Winkler, D. W., and K. Wallin. 1987. Offspring size and number: A life history model linking effort per offspring and total effort. Am Nat 129:708–720.</w:t>
      </w:r>
    </w:p>
    <w:p w14:paraId="26204D27" w14:textId="77777777" w:rsidR="00931EE5" w:rsidRDefault="001C5E67">
      <w:pPr>
        <w:pStyle w:val="Bibliography"/>
      </w:pPr>
      <w:bookmarkStart w:id="65" w:name="ref-yanagi2006"/>
      <w:bookmarkEnd w:id="64"/>
      <w:r>
        <w:t>Yanagi, S., T. Oikawa, and T. Miyatake. 2006. Heritability and genetic correlation estimates for egg size and number in callosobruchus chinensis (coleoptera: bruchidae). Ann Entomol Soc Am 99:364–368.</w:t>
      </w:r>
    </w:p>
    <w:p w14:paraId="403C8937" w14:textId="77777777" w:rsidR="00931EE5" w:rsidRDefault="001C5E67">
      <w:pPr>
        <w:pStyle w:val="Bibliography"/>
      </w:pPr>
      <w:bookmarkStart w:id="66" w:name="ref-yosef2008"/>
      <w:bookmarkEnd w:id="65"/>
      <w:r>
        <w:t>Yosef, R., and P. Zduniak. 2008. Variation in clutch size, egg size variability and reproductive output in the desert finch (rhodospiza obsoleta). J Arid Environ 72:1631–1635.</w:t>
      </w:r>
    </w:p>
    <w:bookmarkEnd w:id="24"/>
    <w:bookmarkEnd w:id="66"/>
    <w:p w14:paraId="6D68D7B9" w14:textId="77777777" w:rsidR="00931EE5" w:rsidRDefault="001C5E67">
      <w:pPr>
        <w:pStyle w:val="BodyText"/>
      </w:pPr>
      <w:r>
        <w:lastRenderedPageBreak/>
        <w:t>—– end of section:</w:t>
      </w:r>
    </w:p>
    <w:p w14:paraId="6A28BEC1" w14:textId="77777777" w:rsidR="00931EE5" w:rsidRDefault="001C5E67">
      <w:pPr>
        <w:pStyle w:val="BodyText"/>
      </w:pPr>
      <w:r>
        <w:t>##Figures</w:t>
      </w:r>
    </w:p>
    <w:tbl>
      <w:tblPr>
        <w:tblStyle w:val="Table"/>
        <w:tblW w:w="5000" w:type="pct"/>
        <w:tblLayout w:type="fixed"/>
        <w:tblLook w:val="0000" w:firstRow="0" w:lastRow="0" w:firstColumn="0" w:lastColumn="0" w:noHBand="0" w:noVBand="0"/>
      </w:tblPr>
      <w:tblGrid>
        <w:gridCol w:w="9620"/>
      </w:tblGrid>
      <w:tr w:rsidR="00931EE5" w14:paraId="144FDF0E" w14:textId="77777777">
        <w:tc>
          <w:tcPr>
            <w:tcW w:w="7920" w:type="dxa"/>
          </w:tcPr>
          <w:p w14:paraId="382AD731" w14:textId="77777777" w:rsidR="00931EE5" w:rsidRDefault="001C5E67">
            <w:pPr>
              <w:pStyle w:val="Compact"/>
              <w:jc w:val="center"/>
            </w:pPr>
            <w:bookmarkStart w:id="67" w:name="fig-one"/>
            <w:r>
              <w:rPr>
                <w:noProof/>
              </w:rPr>
              <w:drawing>
                <wp:inline distT="0" distB="0" distL="0" distR="0" wp14:anchorId="21B07974" wp14:editId="0A300F6A">
                  <wp:extent cx="3810000" cy="2540000"/>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ure_1.jpg"/>
                          <pic:cNvPicPr>
                            <a:picLocks noChangeAspect="1" noChangeArrowheads="1"/>
                          </pic:cNvPicPr>
                        </pic:nvPicPr>
                        <pic:blipFill>
                          <a:blip r:embed="rId8"/>
                          <a:stretch>
                            <a:fillRect/>
                          </a:stretch>
                        </pic:blipFill>
                        <pic:spPr bwMode="auto">
                          <a:xfrm>
                            <a:off x="0" y="0"/>
                            <a:ext cx="3810000" cy="2540000"/>
                          </a:xfrm>
                          <a:prstGeom prst="rect">
                            <a:avLst/>
                          </a:prstGeom>
                          <a:noFill/>
                          <a:ln w="9525">
                            <a:noFill/>
                            <a:headEnd/>
                            <a:tailEnd/>
                          </a:ln>
                        </pic:spPr>
                      </pic:pic>
                    </a:graphicData>
                  </a:graphic>
                </wp:inline>
              </w:drawing>
            </w:r>
          </w:p>
          <w:p w14:paraId="5E8E4DE9" w14:textId="77777777" w:rsidR="00931EE5" w:rsidRDefault="001C5E67">
            <w:pPr>
              <w:pStyle w:val="ImageCaption"/>
              <w:spacing w:before="200"/>
            </w:pPr>
            <w:r>
              <w:t>Figure 1: Relationship between mean egg number per female and mean egg size per female. Each point represents a single female (averaged across clutches). The solid black line shows the posterior mean regression from the within–between mixed-effects model, and the shaded ribbon represents the 95% credible interval of the fitted relationship. The slope reflects the between-female effect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-0.0039, 95% CrI [-0.0076, -0.0001]), indicating whether females that produce more eggs on average lay larger or smaller eggs. This relationship corresponds to the Pearson correlation calculated among female means (</w:t>
            </w:r>
            <m:oMath>
              <m:sSub>
                <m:sSubPr>
                  <m:ctrlPr>
                    <w:rPr>
                      <w:rFonts w:ascii="Cambria Math" w:hAnsi="Cambria Math"/>
                    </w:rPr>
                  </m:ctrlPr>
                </m:sSubPr>
                <m:e>
                  <m:r>
                    <w:rPr>
                      <w:rFonts w:ascii="Cambria Math" w:hAnsi="Cambria Math"/>
                    </w:rPr>
                    <m:t>r</m:t>
                  </m:r>
                </m:e>
                <m:sub>
                  <m:r>
                    <w:rPr>
                      <w:rFonts w:ascii="Cambria Math" w:hAnsi="Cambria Math"/>
                    </w:rPr>
                    <m:t>between</m:t>
                  </m:r>
                </m:sub>
              </m:sSub>
            </m:oMath>
            <w:r>
              <w:t xml:space="preserve"> = -0.31, 95% CI [-0.55, -0.02]).</w:t>
            </w:r>
          </w:p>
        </w:tc>
        <w:bookmarkEnd w:id="67"/>
      </w:tr>
    </w:tbl>
    <w:p w14:paraId="572CD5C8" w14:textId="77777777" w:rsidR="00931EE5" w:rsidRDefault="001C5E67">
      <w:pPr>
        <w:pStyle w:val="BodyText"/>
      </w:pPr>
      <w:r>
        <w:t xml:space="preserve"> </w:t>
      </w:r>
    </w:p>
    <w:tbl>
      <w:tblPr>
        <w:tblStyle w:val="Table"/>
        <w:tblW w:w="5000" w:type="pct"/>
        <w:tblLayout w:type="fixed"/>
        <w:tblLook w:val="0000" w:firstRow="0" w:lastRow="0" w:firstColumn="0" w:lastColumn="0" w:noHBand="0" w:noVBand="0"/>
      </w:tblPr>
      <w:tblGrid>
        <w:gridCol w:w="9620"/>
      </w:tblGrid>
      <w:tr w:rsidR="00931EE5" w14:paraId="71A3CA3D" w14:textId="77777777">
        <w:tc>
          <w:tcPr>
            <w:tcW w:w="7920" w:type="dxa"/>
          </w:tcPr>
          <w:p w14:paraId="6E122E3F" w14:textId="77777777" w:rsidR="00931EE5" w:rsidRDefault="001C5E67">
            <w:pPr>
              <w:pStyle w:val="Compact"/>
              <w:jc w:val="center"/>
            </w:pPr>
            <w:bookmarkStart w:id="68" w:name="fig-two"/>
            <w:r>
              <w:rPr>
                <w:noProof/>
              </w:rPr>
              <w:lastRenderedPageBreak/>
              <w:drawing>
                <wp:inline distT="0" distB="0" distL="0" distR="0" wp14:anchorId="70CC18CA" wp14:editId="60E001EE">
                  <wp:extent cx="3810000" cy="2540000"/>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figure_2.jpg"/>
                          <pic:cNvPicPr>
                            <a:picLocks noChangeAspect="1" noChangeArrowheads="1"/>
                          </pic:cNvPicPr>
                        </pic:nvPicPr>
                        <pic:blipFill>
                          <a:blip r:embed="rId9"/>
                          <a:stretch>
                            <a:fillRect/>
                          </a:stretch>
                        </pic:blipFill>
                        <pic:spPr bwMode="auto">
                          <a:xfrm>
                            <a:off x="0" y="0"/>
                            <a:ext cx="3810000" cy="2540000"/>
                          </a:xfrm>
                          <a:prstGeom prst="rect">
                            <a:avLst/>
                          </a:prstGeom>
                          <a:noFill/>
                          <a:ln w="9525">
                            <a:noFill/>
                            <a:headEnd/>
                            <a:tailEnd/>
                          </a:ln>
                        </pic:spPr>
                      </pic:pic>
                    </a:graphicData>
                  </a:graphic>
                </wp:inline>
              </w:drawing>
            </w:r>
          </w:p>
          <w:p w14:paraId="4A8529DC" w14:textId="77777777" w:rsidR="00931EE5" w:rsidRDefault="001C5E67">
            <w:pPr>
              <w:pStyle w:val="ImageCaption"/>
              <w:spacing w:before="200"/>
            </w:pPr>
            <w:r>
              <w:t xml:space="preserve">Figure 2: Within-female residual relationship between egg number and egg size from a multivariate Bayesian model. Points show posterior mean residuals for egg number and mean egg size for each clutch (n=82), extracted from a multivariate Gaussian </w:t>
            </w:r>
            <w:r>
              <w:rPr>
                <w:i/>
                <w:iCs/>
              </w:rPr>
              <w:t>brms</w:t>
            </w:r>
            <w:r>
              <w:t xml:space="preserve"> model fitted with correlated residuals (</w:t>
            </w:r>
            <w:r>
              <w:rPr>
                <w:rStyle w:val="VerbatimChar"/>
              </w:rPr>
              <w:t>set_rescor(TRUE)</w:t>
            </w:r>
            <w:r>
              <w:t xml:space="preserve">). Residuals therefore represent variation remaining after accounting for all fixed and random effects specified in </w:t>
            </w:r>
            <w:hyperlink w:anchor="eq-residual">
              <w:r>
                <w:rPr>
                  <w:rStyle w:val="Hyperlink"/>
                </w:rPr>
                <w:t>Equation 2</w:t>
              </w:r>
            </w:hyperlink>
            <w:r>
              <w:t>, isolating within-female covariance between traits. The solid black line shows the linear regression fit to the residual values for visualization (0.0066). The shallow slope is consistent with the posterior residual correlation estimated by the model (mean and 95% credible interval reported in text), indicating little evidence for a within-female trade-off between egg number and egg size.</w:t>
            </w:r>
          </w:p>
        </w:tc>
        <w:bookmarkEnd w:id="68"/>
      </w:tr>
    </w:tbl>
    <w:p w14:paraId="339286E3" w14:textId="77777777" w:rsidR="00931EE5" w:rsidRDefault="001C5E67">
      <w:pPr>
        <w:pStyle w:val="BodyText"/>
      </w:pPr>
      <w:r>
        <w:t xml:space="preserve"> </w:t>
      </w:r>
    </w:p>
    <w:tbl>
      <w:tblPr>
        <w:tblStyle w:val="Table"/>
        <w:tblW w:w="5000" w:type="pct"/>
        <w:tblLayout w:type="fixed"/>
        <w:tblLook w:val="0000" w:firstRow="0" w:lastRow="0" w:firstColumn="0" w:lastColumn="0" w:noHBand="0" w:noVBand="0"/>
      </w:tblPr>
      <w:tblGrid>
        <w:gridCol w:w="9620"/>
      </w:tblGrid>
      <w:tr w:rsidR="00931EE5" w14:paraId="02BFB4D7" w14:textId="77777777">
        <w:tc>
          <w:tcPr>
            <w:tcW w:w="7920" w:type="dxa"/>
          </w:tcPr>
          <w:p w14:paraId="174D8E8E" w14:textId="77777777" w:rsidR="00931EE5" w:rsidRDefault="001C5E67">
            <w:pPr>
              <w:pStyle w:val="Compact"/>
              <w:jc w:val="center"/>
            </w:pPr>
            <w:bookmarkStart w:id="69" w:name="fig-three"/>
            <w:r>
              <w:rPr>
                <w:noProof/>
              </w:rPr>
              <w:lastRenderedPageBreak/>
              <w:drawing>
                <wp:inline distT="0" distB="0" distL="0" distR="0" wp14:anchorId="0CB6EDBE" wp14:editId="60CB432D">
                  <wp:extent cx="3810000" cy="25400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figure_3.jpg"/>
                          <pic:cNvPicPr>
                            <a:picLocks noChangeAspect="1" noChangeArrowheads="1"/>
                          </pic:cNvPicPr>
                        </pic:nvPicPr>
                        <pic:blipFill>
                          <a:blip r:embed="rId10"/>
                          <a:stretch>
                            <a:fillRect/>
                          </a:stretch>
                        </pic:blipFill>
                        <pic:spPr bwMode="auto">
                          <a:xfrm>
                            <a:off x="0" y="0"/>
                            <a:ext cx="3810000" cy="2540000"/>
                          </a:xfrm>
                          <a:prstGeom prst="rect">
                            <a:avLst/>
                          </a:prstGeom>
                          <a:noFill/>
                          <a:ln w="9525">
                            <a:noFill/>
                            <a:headEnd/>
                            <a:tailEnd/>
                          </a:ln>
                        </pic:spPr>
                      </pic:pic>
                    </a:graphicData>
                  </a:graphic>
                </wp:inline>
              </w:drawing>
            </w:r>
          </w:p>
          <w:p w14:paraId="15629A22" w14:textId="77777777" w:rsidR="00931EE5" w:rsidRDefault="001C5E67">
            <w:pPr>
              <w:pStyle w:val="ImageCaption"/>
              <w:spacing w:before="200"/>
            </w:pPr>
            <w:r>
              <w:t>Figure 3: Mean egg size plotted against within-female deviation in egg number (clutch size minus each female’s mean). Points represent individual broods, and thin gray lines connect successive broods from the same female. The solid black line shows the posterior mean population-level effect of within-female egg-number deviation estimated from the mixed-effects model. The shaded ribbon represents the 95% credible interval of the posterior expected value (random effects excluded). Positive values on the x-axi</w:t>
            </w:r>
            <w:r>
              <w:t>s indicate broods in which a female laid more eggs than her average, whereas negative values indicate broods with fewer eggs than her average. Note that second clutches (blue points) tend to negatively deviate from zero whereas first clutches (salmon points) tend to positively deviate from zero.The slope of the population-level line reflects the estimated within-female plastic response of egg size to changes in egg number 0.]</w:t>
            </w:r>
          </w:p>
        </w:tc>
        <w:bookmarkEnd w:id="69"/>
      </w:tr>
      <w:bookmarkEnd w:id="22"/>
    </w:tbl>
    <w:p w14:paraId="0F894F36" w14:textId="77777777" w:rsidR="001C5E67" w:rsidRDefault="001C5E67"/>
    <w:sectPr w:rsidR="001C5E67" w:rsidSect="00464596">
      <w:headerReference w:type="even" r:id="rId11"/>
      <w:headerReference w:type="default" r:id="rId12"/>
      <w:footerReference w:type="even" r:id="rId13"/>
      <w:footerReference w:type="default" r:id="rId14"/>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F0DAB" w14:textId="77777777" w:rsidR="001C5E67" w:rsidRDefault="001C5E67">
      <w:pPr>
        <w:spacing w:after="0"/>
      </w:pPr>
      <w:r>
        <w:separator/>
      </w:r>
    </w:p>
  </w:endnote>
  <w:endnote w:type="continuationSeparator" w:id="0">
    <w:p w14:paraId="75DD1843" w14:textId="77777777" w:rsidR="001C5E67" w:rsidRDefault="001C5E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EndPr>
      <w:rPr>
        <w:rStyle w:val="PageNumber"/>
      </w:rPr>
    </w:sdtEndPr>
    <w:sdtContent>
      <w:p w14:paraId="4568AE04"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BE8998F"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EndPr>
      <w:rPr>
        <w:rStyle w:val="PageNumber"/>
      </w:rPr>
    </w:sdtEndPr>
    <w:sdtContent>
      <w:p w14:paraId="18227305"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CA353EA"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3C241" w14:textId="77777777" w:rsidR="001C5E67" w:rsidRDefault="001C5E67">
      <w:pPr>
        <w:spacing w:after="0"/>
      </w:pPr>
      <w:r>
        <w:separator/>
      </w:r>
    </w:p>
  </w:footnote>
  <w:footnote w:type="continuationSeparator" w:id="0">
    <w:p w14:paraId="14DBFB50" w14:textId="77777777" w:rsidR="001C5E67" w:rsidRDefault="001C5E6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EndPr>
      <w:rPr>
        <w:rStyle w:val="PageNumber"/>
      </w:rPr>
    </w:sdtEndPr>
    <w:sdtContent>
      <w:p w14:paraId="7609EF09"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6241637"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6F36C" w14:textId="77777777" w:rsidR="00D100A8" w:rsidRDefault="00D100A8" w:rsidP="00F25F6C">
    <w:pPr>
      <w:pStyle w:val="Header"/>
      <w:framePr w:wrap="none" w:vAnchor="text" w:hAnchor="margin" w:xAlign="right" w:y="1"/>
      <w:rPr>
        <w:rStyle w:val="PageNumber"/>
      </w:rPr>
    </w:pPr>
  </w:p>
  <w:p w14:paraId="67D5759C"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805491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A99411"/>
    <w:multiLevelType w:val="multilevel"/>
    <w:tmpl w:val="59EE72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412"/>
    <w:multiLevelType w:val="multilevel"/>
    <w:tmpl w:val="07D82282"/>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13"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3"/>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5"/>
  </w:num>
  <w:num w:numId="13" w16cid:durableId="442194333">
    <w:abstractNumId w:val="14"/>
  </w:num>
  <w:num w:numId="14" w16cid:durableId="1965456144">
    <w:abstractNumId w:val="10"/>
  </w:num>
  <w:num w:numId="15" w16cid:durableId="71389333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51600759">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53ABC"/>
    <w:rsid w:val="00193F49"/>
    <w:rsid w:val="001979AD"/>
    <w:rsid w:val="001C5E67"/>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5515D"/>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31EE5"/>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6F0E"/>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ACB20"/>
  <w15:docId w15:val="{FF29ADE9-2184-D746-8515-1A1A60790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CB0BD1"/>
    <w:pPr>
      <w:keepNext/>
      <w:keepLines/>
      <w:spacing w:before="200" w:after="0"/>
      <w:outlineLvl w:val="1"/>
    </w:pPr>
    <w:rPr>
      <w:rFonts w:asciiTheme="majorHAnsi" w:eastAsiaTheme="majorEastAsia" w:hAnsiTheme="majorHAnsi" w:cstheme="majorBidi"/>
      <w:b/>
      <w:bCs/>
      <w:color w:val="000000" w:themeColor="text1"/>
      <w:szCs w:val="32"/>
    </w:rPr>
  </w:style>
  <w:style w:type="paragraph" w:styleId="Heading3">
    <w:name w:val="heading 3"/>
    <w:basedOn w:val="Normal"/>
    <w:next w:val="BodyText"/>
    <w:uiPriority w:val="9"/>
    <w:unhideWhenUsed/>
    <w:qFormat/>
    <w:rsid w:val="0090509B"/>
    <w:pPr>
      <w:keepNext/>
      <w:keepLines/>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kelly.clint@uqam.ca" TargetMode="Externa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jpg"/><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26</Pages>
  <Words>6143</Words>
  <Characters>35141</Characters>
  <Application>Microsoft Office Word</Application>
  <DocSecurity>0</DocSecurity>
  <Lines>509</Lines>
  <Paragraphs>145</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41139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cp:lastModifiedBy>Kelly, Clint Dale</cp:lastModifiedBy>
  <cp:revision>3</cp:revision>
  <dcterms:created xsi:type="dcterms:W3CDTF">2026-02-18T15:18:00Z</dcterms:created>
  <dcterms:modified xsi:type="dcterms:W3CDTF">2026-02-18T15:21:00Z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