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7.jpg" ContentType="image/jpeg"/>
  <Override PartName="/word/media/rId91.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r>
        <w:br w:type="page"/>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(Clutton-Brock 1991)</w:t>
      </w:r>
      <w:r>
        <w:t xml:space="preserve">. A limited pool of reproductive resources, therefore, requires females to balance investment between the number and quality of eggs produced during a reproductive cycle</w:t>
      </w:r>
      <w:r>
        <w:t xml:space="preserve"> </w:t>
      </w:r>
      <w:r>
        <w:t xml:space="preserve">(Smith and Fretwell 1974; Roff 1992; Fox and Czesak 2000; see also Parker 1982)</w:t>
      </w:r>
      <w:r>
        <w:t xml:space="preserve">. However, these traits do not always trade off against each other</w:t>
      </w:r>
      <w:r>
        <w:t xml:space="preserve"> </w:t>
      </w:r>
      <w:r>
        <w:t xml:space="preserve">(Roff 1992; Stearns 1992; Bernardo 1996; Fox and Czesak 2000; Hargitai et al. 2005; Cavaleiro and Santos 2014)</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(Reznick et al. 2000)</w:t>
      </w:r>
      <w:r>
        <w:t xml:space="preserve">. Van Noordwijk and DeJong</w:t>
      </w:r>
      <w:r>
        <w:t xml:space="preserve"> </w:t>
      </w:r>
      <w:r>
        <w:t xml:space="preserve">(1986; see also Reznick et al. 2000)</w:t>
      </w:r>
      <w:r>
        <w:t xml:space="preserve"> </w:t>
      </w:r>
      <w:r>
        <w:t xml:space="preserve">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w:t>
      </w:r>
      <w:r>
        <w:t xml:space="preserve"> </w:t>
      </w:r>
      <w:r>
        <w:t xml:space="preserve">(i.e. Simpson’s Paradox, Simpson 1951)</w:t>
      </w:r>
      <w:r>
        <w:t xml:space="preserve">, assuming that all individuals follow a similar allocation strategy.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(2017)</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(2017)</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(Meunier 2024)</w:t>
      </w:r>
      <w:r>
        <w:t xml:space="preserve">. Females care for eggs and the nymphs for up to 2 weeks post-hatching</w:t>
      </w:r>
      <w:r>
        <w:t xml:space="preserve"> </w:t>
      </w:r>
      <w:r>
        <w:t xml:space="preserve">(Staerkle and Kölliker 2008; Meunier 2024)</w:t>
      </w:r>
      <w:r>
        <w:t xml:space="preserve">. Earwigs in Quebec, Canada, are semelparous because the harsh environmental conditions extend the incubation and egg-care period beyond the point at which a second clutch is possible</w:t>
      </w:r>
      <w:r>
        <w:t xml:space="preserve"> </w:t>
      </w:r>
      <w:r>
        <w:t xml:space="preserve">(Tourneur 2018)</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Smith and Fretwell 1974)</w:t>
      </w:r>
      <w:r>
        <w:t xml:space="preserve">. If so, one trait should not differ between clutches (e.g., egg number), whereas the other (e.g., egg size) is adjusted accordingly</w:t>
      </w:r>
      <w:r>
        <w:t xml:space="preserve"> </w:t>
      </w:r>
      <w:r>
        <w:t xml:space="preserve">(Winkler and Wallin 1987)</w:t>
      </w:r>
      <w:r>
        <w:t xml:space="preserve">. Alternatively, females laying a second clutch may recognise their low residual reproductive value and, consequently, terminally invest in current reproduction by producing either more or larger eggs in this clutch</w:t>
      </w:r>
      <w:r>
        <w:t xml:space="preserve"> </w:t>
      </w:r>
      <w:r>
        <w:t xml:space="preserve">(Clutton-Brock 1984)</w:t>
      </w:r>
      <w:r>
        <w:t xml:space="preserve">. Finally, I explore whether eggs in first and second clutches differ in their size variation at the among- and within-female (clutch) levels</w:t>
      </w:r>
      <w:r>
        <w:t xml:space="preserve"> </w:t>
      </w:r>
      <w:r>
        <w:t xml:space="preserve">(e.g. Hargitai et al. 2005)</w:t>
      </w:r>
      <w:r>
        <w:t xml:space="preserve">.</w:t>
      </w:r>
    </w:p>
    <w:bookmarkEnd w:id="22"/>
    <w:bookmarkStart w:id="32"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and the perimeter of each egg to the nearest 0.001 mm. Both traits were measured three times, with each measurement separated by 4 days.</w:t>
      </w:r>
    </w:p>
    <w:bookmarkStart w:id="31"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The measurements of my two morphological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therefore, I used each female’s mean value for each trait where necessary. Because egg perimeter was highly repeatable in both clutches (first clutch:</w:t>
      </w:r>
      <w:r>
        <w:t xml:space="preserve"> </w:t>
      </w:r>
      <w:r>
        <w:rPr>
          <w:i/>
          <w:iCs/>
        </w:rPr>
        <w:t xml:space="preserve">R</w:t>
      </w:r>
      <w:r>
        <w:t xml:space="preserve"> </w:t>
      </w:r>
      <w:r>
        <w:t xml:space="preserve">[95% CI] = 0.977 [0.976, 0.979]; second clutch:</w:t>
      </w:r>
      <w:r>
        <w:t xml:space="preserve"> </w:t>
      </w:r>
      <w:r>
        <w:rPr>
          <w:i/>
          <w:iCs/>
        </w:rPr>
        <w:t xml:space="preserve">R</w:t>
      </w:r>
      <w:r>
        <w:t xml:space="preserve"> </w:t>
      </w:r>
      <w:r>
        <w:t xml:space="preserve">[95% CI] = 0.93 [0.926, 0.937] ), I calculated each egg’s average perimeter and then used these values to calculate the mean egg size for each clutch for each female. I reduced the two measurements representing body size (pronotum length and body mass) to a single value (PC1) by performing a principal components analysis (PCA) on the correlation matrix of standardized measurements using the</w:t>
      </w:r>
      <w:r>
        <w:t xml:space="preserve"> </w:t>
      </w:r>
      <w:r>
        <w:rPr>
          <w:i/>
          <w:iCs/>
        </w:rPr>
        <w:t xml:space="preserve">prcomp</w:t>
      </w:r>
      <w:r>
        <w:t xml:space="preserve"> </w:t>
      </w:r>
      <w:r>
        <w:t xml:space="preserve">function in the R</w:t>
      </w:r>
      <w:r>
        <w:t xml:space="preserve"> </w:t>
      </w:r>
      <w:r>
        <w:rPr>
          <w:i/>
          <w:iCs/>
        </w:rPr>
        <w:t xml:space="preserve">stats</w:t>
      </w:r>
      <w:r>
        <w:t xml:space="preserve"> </w:t>
      </w:r>
      <w:r>
        <w:t xml:space="preserve">package</w:t>
      </w:r>
      <w:r>
        <w:t xml:space="preserve"> </w:t>
      </w:r>
      <w:r>
        <w:t xml:space="preserve">(R Core Team 2025)</w:t>
      </w:r>
      <w:r>
        <w:t xml:space="preserve">. The first PC accounted for 60.8% of the variation. I also standardised female body mass relative to structural body size (i.e. pronotum length) using the scaled mass index procedure of Peig and Green</w:t>
      </w:r>
      <w:r>
        <w:t xml:space="preserve"> </w:t>
      </w:r>
      <w:r>
        <w:t xml:space="preserve">(2009, 2010; see also Kelly et al. 2014)</w:t>
      </w:r>
      <w:r>
        <w:t xml:space="preserve">.</w:t>
      </w:r>
    </w:p>
    <w:p>
      <w:pPr>
        <w:pStyle w:val="BodyText"/>
      </w:pPr>
      <w:r>
        <w:t xml:space="preserve">The following analyses were conducted in a Bayesian framework using the</w:t>
      </w:r>
      <w:r>
        <w:t xml:space="preserve"> </w:t>
      </w:r>
      <w:r>
        <w:rPr>
          <w:i/>
          <w:iCs/>
        </w:rPr>
        <w:t xml:space="preserve">brms</w:t>
      </w:r>
      <w:r>
        <w:t xml:space="preserve"> </w:t>
      </w:r>
      <w:r>
        <w:t xml:space="preserve">package</w:t>
      </w:r>
      <w:r>
        <w:t xml:space="preserve"> </w:t>
      </w:r>
      <w:r>
        <w:t xml:space="preserve">(Bürkner 2017)</w:t>
      </w:r>
      <w:r>
        <w:t xml:space="preserve"> </w:t>
      </w:r>
      <w:r>
        <w:t xml:space="preserve">in R.</w:t>
      </w:r>
    </w:p>
    <w:p>
      <w:pPr>
        <w:pStyle w:val="BodyText"/>
      </w:pPr>
      <w:r>
        <w:t xml:space="preserve">I tested whether egg number and egg size changed across successive clutches by fitting a multivariate Bayesian mixed-effects model including clutch order (first vs. second clutch) as a fixed effect for both traits. Egg size was modelled using a Gaussian distribution with an identity link, whereas egg number was modelled using a Poisson distribution with a log link.</w:t>
      </w:r>
    </w:p>
    <w:p>
      <w:pPr>
        <w:pStyle w:val="BodyText"/>
      </w:pPr>
      <w:r>
        <w:t xml:space="preserve">For female</w:t>
      </w:r>
      <w:r>
        <w:t xml:space="preserve"> </w:t>
      </w:r>
      <m:oMath>
        <m:r>
          <m:t>i</m:t>
        </m:r>
      </m:oMath>
      <w:r>
        <w:t xml:space="preserve"> </w:t>
      </w:r>
      <w:r>
        <w:t xml:space="preserve">and clutch</w:t>
      </w:r>
      <w:r>
        <w:t xml:space="preserve"> </w:t>
      </w:r>
      <m:oMath>
        <m:r>
          <m:t>j</m:t>
        </m:r>
      </m:oMath>
      <w:r>
        <w:t xml:space="preserve">, mean egg size and egg number were modelled jointly as:</w:t>
      </w:r>
    </w:p>
    <w:p>
      <w:pPr>
        <w:pStyle w:val="BodyText"/>
      </w:pPr>
      <w:bookmarkStart w:id="23" w:name="eq-clutchorder"/>
      <m:oMathPara>
        <m:oMathParaPr>
          <m:jc m:val="center"/>
        </m:oMathParaPr>
        <m:oMath>
          <m:m>
            <m:mPr>
              <m:baseJc m:val="center"/>
              <m:plcHide m:val="on"/>
              <m:mcs>
                <m:mc>
                  <m:mcPr>
                    <m:mcJc m:val="right"/>
                    <m:count m:val="1"/>
                  </m:mcPr>
                </m:mc>
                <m:mc>
                  <m:mcPr>
                    <m:mcJc m:val="left"/>
                    <m:count m:val="1"/>
                  </m:mcPr>
                </m:mc>
              </m:mcs>
            </m:mPr>
            <m:mr>
              <m:e>
                <m:sSub>
                  <m:e>
                    <m:r>
                      <m:rPr>
                        <m:nor/>
                        <m:sty m:val="p"/>
                      </m:rPr>
                      <m:t>MeanEggSize</m:t>
                    </m:r>
                  </m:e>
                  <m:sub>
                    <m:r>
                      <m:t>i</m:t>
                    </m:r>
                    <m:r>
                      <m:t>j</m:t>
                    </m:r>
                  </m:sub>
                </m:sSub>
              </m:e>
              <m:e>
                <m:r>
                  <m:rPr>
                    <m:sty m:val="p"/>
                  </m:rPr>
                  <m:t>∼</m:t>
                </m:r>
                <m:r>
                  <m:rPr>
                    <m:sty m:val="p"/>
                    <m:scr m:val="script"/>
                  </m:rPr>
                  <m:t>N</m:t>
                </m:r>
                <m:d>
                  <m:dPr>
                    <m:begChr m:val="("/>
                    <m:sepChr m:val=""/>
                    <m:endChr m:val=")"/>
                    <m:grow/>
                  </m:dPr>
                  <m:e>
                    <m:sSub>
                      <m:e>
                        <m:r>
                          <m:t>μ</m:t>
                        </m:r>
                      </m:e>
                      <m:sub>
                        <m:r>
                          <m:t>1</m:t>
                        </m:r>
                        <m:r>
                          <m:rPr>
                            <m:sty m:val="p"/>
                          </m:rPr>
                          <m:t>,</m:t>
                        </m:r>
                        <m:r>
                          <m:t>i</m:t>
                        </m:r>
                        <m:r>
                          <m:t>j</m:t>
                        </m:r>
                      </m:sub>
                    </m:sSub>
                    <m:r>
                      <m:rPr>
                        <m:sty m:val="p"/>
                      </m:rPr>
                      <m:t>,</m:t>
                    </m:r>
                    <m:sSubSup>
                      <m:e>
                        <m:r>
                          <m:t>σ</m:t>
                        </m:r>
                      </m:e>
                      <m:sub>
                        <m:r>
                          <m:t>1</m:t>
                        </m:r>
                      </m:sub>
                      <m:sup>
                        <m:r>
                          <m:t>2</m:t>
                        </m:r>
                      </m:sup>
                    </m:sSubSup>
                  </m:e>
                </m:d>
              </m:e>
            </m:mr>
            <m:mr>
              <m:e>
                <m:sSub>
                  <m:e>
                    <m:r>
                      <m:t>μ</m:t>
                    </m:r>
                  </m:e>
                  <m:sub>
                    <m:r>
                      <m:t>1</m:t>
                    </m:r>
                    <m:r>
                      <m:rPr>
                        <m:sty m:val="p"/>
                      </m:rPr>
                      <m:t>,</m:t>
                    </m:r>
                    <m:r>
                      <m:t>i</m:t>
                    </m:r>
                    <m:r>
                      <m:t>j</m:t>
                    </m:r>
                  </m:sub>
                </m:sSub>
              </m:e>
              <m:e>
                <m:r>
                  <m:rPr>
                    <m:sty m:val="p"/>
                  </m:rPr>
                  <m:t>=</m:t>
                </m:r>
                <m:sSub>
                  <m:e>
                    <m:r>
                      <m:t>β</m:t>
                    </m:r>
                  </m:e>
                  <m:sub>
                    <m:r>
                      <m:t>1</m:t>
                    </m:r>
                    <m:r>
                      <m:rPr>
                        <m:sty m:val="p"/>
                      </m:rPr>
                      <m:t>,</m:t>
                    </m:r>
                    <m:r>
                      <m:t>0</m:t>
                    </m:r>
                  </m:sub>
                </m:sSub>
                <m:r>
                  <m:rPr>
                    <m:sty m:val="p"/>
                  </m:rPr>
                  <m:t>+</m:t>
                </m:r>
                <m:sSub>
                  <m:e>
                    <m:r>
                      <m:t>β</m:t>
                    </m:r>
                  </m:e>
                  <m:sub>
                    <m:r>
                      <m:t>1</m:t>
                    </m:r>
                    <m:r>
                      <m:rPr>
                        <m:sty m:val="p"/>
                      </m:rPr>
                      <m:t>,</m:t>
                    </m:r>
                    <m:r>
                      <m:rPr>
                        <m:nor/>
                        <m:sty m:val="p"/>
                      </m:rPr>
                      <m:t>brood</m:t>
                    </m:r>
                  </m:sub>
                </m:sSub>
                <m:r>
                  <m:t> </m:t>
                </m:r>
                <m:sSub>
                  <m:e>
                    <m:r>
                      <m:rPr>
                        <m:nor/>
                        <m:sty m:val="p"/>
                      </m:rPr>
                      <m:t>Brood</m:t>
                    </m:r>
                  </m:e>
                  <m:sub>
                    <m:r>
                      <m:t>i</m:t>
                    </m:r>
                    <m:r>
                      <m:t>j</m:t>
                    </m:r>
                  </m:sub>
                </m:sSub>
                <m:r>
                  <m:rPr>
                    <m:sty m:val="p"/>
                  </m:rPr>
                  <m:t>+</m:t>
                </m:r>
                <m:sSub>
                  <m:e>
                    <m:r>
                      <m:t>b</m:t>
                    </m:r>
                  </m:e>
                  <m:sub>
                    <m:r>
                      <m:t>1</m:t>
                    </m:r>
                    <m:r>
                      <m:rPr>
                        <m:sty m:val="p"/>
                      </m:rPr>
                      <m:t>,</m:t>
                    </m:r>
                    <m:r>
                      <m:t>i</m:t>
                    </m:r>
                  </m:sub>
                </m:sSub>
              </m:e>
            </m:mr>
            <m:mr>
              <m:e/>
            </m:mr>
            <m:mr>
              <m:e>
                <m:sSub>
                  <m:e>
                    <m:r>
                      <m:rPr>
                        <m:nor/>
                        <m:sty m:val="p"/>
                      </m:rPr>
                      <m:t>EggNumber</m:t>
                    </m:r>
                  </m:e>
                  <m:sub>
                    <m:r>
                      <m:t>i</m:t>
                    </m:r>
                    <m:r>
                      <m:t>j</m:t>
                    </m:r>
                  </m:sub>
                </m:sSub>
              </m:e>
              <m:e>
                <m:r>
                  <m:rPr>
                    <m:sty m:val="p"/>
                  </m:rPr>
                  <m:t>∼</m:t>
                </m:r>
                <m:r>
                  <m:rPr>
                    <m:nor/>
                    <m:sty m:val="p"/>
                  </m:rPr>
                  <m:t>Poisson</m:t>
                </m:r>
                <m:d>
                  <m:dPr>
                    <m:begChr m:val="("/>
                    <m:sepChr m:val=""/>
                    <m:endChr m:val=")"/>
                    <m:grow/>
                  </m:dPr>
                  <m:e>
                    <m:sSub>
                      <m:e>
                        <m:r>
                          <m:t>λ</m:t>
                        </m:r>
                      </m:e>
                      <m:sub>
                        <m:r>
                          <m:t>i</m:t>
                        </m:r>
                        <m:r>
                          <m:t>j</m:t>
                        </m:r>
                      </m:sub>
                    </m:sSub>
                  </m:e>
                </m:d>
              </m:e>
            </m:mr>
            <m:mr>
              <m:e>
                <m:r>
                  <m:rPr>
                    <m:sty m:val="p"/>
                  </m:rPr>
                  <m:t>log</m:t>
                </m:r>
                <m:d>
                  <m:dPr>
                    <m:begChr m:val="("/>
                    <m:sepChr m:val=""/>
                    <m:endChr m:val=")"/>
                    <m:grow/>
                  </m:dPr>
                  <m:e>
                    <m:sSub>
                      <m:e>
                        <m:r>
                          <m:t>λ</m:t>
                        </m:r>
                      </m:e>
                      <m:sub>
                        <m:r>
                          <m:t>i</m:t>
                        </m:r>
                        <m:r>
                          <m:t>j</m:t>
                        </m:r>
                      </m:sub>
                    </m:sSub>
                  </m:e>
                </m:d>
              </m:e>
              <m:e>
                <m:r>
                  <m:rPr>
                    <m:sty m:val="p"/>
                  </m:rPr>
                  <m:t>=</m:t>
                </m:r>
                <m:sSub>
                  <m:e>
                    <m:r>
                      <m:t>β</m:t>
                    </m:r>
                  </m:e>
                  <m:sub>
                    <m:r>
                      <m:t>2</m:t>
                    </m:r>
                    <m:r>
                      <m:rPr>
                        <m:sty m:val="p"/>
                      </m:rPr>
                      <m:t>,</m:t>
                    </m:r>
                    <m:r>
                      <m:t>0</m:t>
                    </m:r>
                  </m:sub>
                </m:sSub>
                <m:r>
                  <m:rPr>
                    <m:sty m:val="p"/>
                  </m:rPr>
                  <m:t>+</m:t>
                </m:r>
                <m:sSub>
                  <m:e>
                    <m:r>
                      <m:t>β</m:t>
                    </m:r>
                  </m:e>
                  <m:sub>
                    <m:r>
                      <m:t>2</m:t>
                    </m:r>
                    <m:r>
                      <m:rPr>
                        <m:sty m:val="p"/>
                      </m:rPr>
                      <m:t>,</m:t>
                    </m:r>
                    <m:r>
                      <m:rPr>
                        <m:nor/>
                        <m:sty m:val="p"/>
                      </m:rPr>
                      <m:t>brood</m:t>
                    </m:r>
                  </m:sub>
                </m:sSub>
                <m:r>
                  <m:t> </m:t>
                </m:r>
                <m:sSub>
                  <m:e>
                    <m:r>
                      <m:rPr>
                        <m:nor/>
                        <m:sty m:val="p"/>
                      </m:rPr>
                      <m:t>Brood</m:t>
                    </m:r>
                  </m:e>
                  <m:sub>
                    <m:r>
                      <m:t>i</m:t>
                    </m:r>
                    <m:r>
                      <m:t>j</m:t>
                    </m:r>
                  </m:sub>
                </m:sSub>
                <m:r>
                  <m:rPr>
                    <m:sty m:val="p"/>
                  </m:rPr>
                  <m:t>+</m:t>
                </m:r>
                <m:sSub>
                  <m:e>
                    <m:r>
                      <m:t>b</m:t>
                    </m:r>
                  </m:e>
                  <m:sub>
                    <m:r>
                      <m:t>2</m:t>
                    </m:r>
                    <m:r>
                      <m:rPr>
                        <m:sty m:val="p"/>
                      </m:rPr>
                      <m:t>,</m:t>
                    </m:r>
                    <m:r>
                      <m:t>i</m:t>
                    </m:r>
                  </m:sub>
                </m:sSub>
              </m:e>
            </m:mr>
            <m:mr>
              <m:e/>
            </m:mr>
            <m:mr>
              <m:e>
                <m:d>
                  <m:dPr>
                    <m:begChr m:val="("/>
                    <m:sepChr m:val=""/>
                    <m:endChr m:val=")"/>
                    <m:grow/>
                  </m:dPr>
                  <m:e>
                    <m:m>
                      <m:mPr>
                        <m:baseJc m:val="center"/>
                        <m:plcHide m:val="on"/>
                        <m:mcs>
                          <m:mc>
                            <m:mcPr>
                              <m:mcJc m:val="center"/>
                              <m:count m:val="1"/>
                            </m:mcPr>
                          </m:mc>
                        </m:mcs>
                      </m:mPr>
                      <m:mr>
                        <m:e>
                          <m:sSub>
                            <m:e>
                              <m:r>
                                <m:t>b</m:t>
                              </m:r>
                            </m:e>
                            <m:sub>
                              <m:r>
                                <m:t>1</m:t>
                              </m:r>
                              <m:r>
                                <m:rPr>
                                  <m:sty m:val="p"/>
                                </m:rPr>
                                <m:t>,</m:t>
                              </m:r>
                              <m:r>
                                <m:t>i</m:t>
                              </m:r>
                            </m:sub>
                          </m:sSub>
                        </m:e>
                      </m:mr>
                      <m:mr>
                        <m:e>
                          <m:sSub>
                            <m:e>
                              <m:r>
                                <m:t>b</m:t>
                              </m:r>
                            </m:e>
                            <m:sub>
                              <m:r>
                                <m:t>2</m:t>
                              </m:r>
                              <m:r>
                                <m:rPr>
                                  <m:sty m:val="p"/>
                                </m:rPr>
                                <m:t>,</m:t>
                              </m:r>
                              <m:r>
                                <m:t>i</m:t>
                              </m:r>
                            </m:sub>
                          </m:sSub>
                        </m:e>
                      </m:mr>
                    </m:m>
                  </m:e>
                </m:d>
              </m:e>
              <m:e>
                <m:r>
                  <m:rPr>
                    <m:sty m:val="p"/>
                  </m:rPr>
                  <m:t>∼</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b</m:t>
                        </m:r>
                      </m:sub>
                    </m:sSub>
                  </m:e>
                </m:d>
              </m:e>
            </m:mr>
          </m:m>
          <m:r>
            <m:t>  </m:t>
          </m:r>
          <m:d>
            <m:dPr>
              <m:begChr m:val="("/>
              <m:sepChr m:val=""/>
              <m:endChr m:val=")"/>
              <m:grow/>
            </m:dPr>
            <m:e>
              <m:r>
                <m:t>1</m:t>
              </m:r>
            </m:e>
          </m:d>
        </m:oMath>
      </m:oMathPara>
      <w:bookmarkEnd w:id="23"/>
    </w:p>
    <w:p>
      <w:pPr>
        <w:pStyle w:val="FirstParagraph"/>
      </w:pPr>
      <w:r>
        <w:t xml:space="preserve">where</w:t>
      </w:r>
      <w:r>
        <w:t xml:space="preserve"> </w:t>
      </w:r>
      <m:oMath>
        <m:sSub>
          <m:e>
            <m:r>
              <m:t>b</m:t>
            </m:r>
          </m:e>
          <m:sub>
            <m:r>
              <m:t>1</m:t>
            </m:r>
            <m:r>
              <m:rPr>
                <m:sty m:val="p"/>
              </m:rPr>
              <m:t>,</m:t>
            </m:r>
            <m:r>
              <m:t>i</m:t>
            </m:r>
          </m:sub>
        </m:sSub>
      </m:oMath>
      <w:r>
        <w:t xml:space="preserve"> </w:t>
      </w:r>
      <w:r>
        <w:t xml:space="preserve">and</w:t>
      </w:r>
      <w:r>
        <w:t xml:space="preserve"> </w:t>
      </w:r>
      <m:oMath>
        <m:sSub>
          <m:e>
            <m:r>
              <m:t>b</m:t>
            </m:r>
          </m:e>
          <m:sub>
            <m:r>
              <m:t>2</m:t>
            </m:r>
            <m:r>
              <m:rPr>
                <m:sty m:val="p"/>
              </m:rPr>
              <m:t>,</m:t>
            </m:r>
            <m:r>
              <m:t>i</m:t>
            </m:r>
          </m:sub>
        </m:sSub>
      </m:oMath>
      <w:r>
        <w:t xml:space="preserve"> </w:t>
      </w:r>
      <w:r>
        <w:t xml:space="preserve">are female-specific random intercepts and</w:t>
      </w:r>
      <w:r>
        <w:t xml:space="preserve"> </w:t>
      </w:r>
      <m:oMath>
        <m:sSub>
          <m:e>
            <m:r>
              <m:t>Σ</m:t>
            </m:r>
          </m:e>
          <m:sub>
            <m:r>
              <m:t>b</m:t>
            </m:r>
          </m:sub>
        </m:sSub>
      </m:oMath>
      <w:r>
        <w:t xml:space="preserve"> </w:t>
      </w:r>
      <w:r>
        <w:t xml:space="preserve">is the female-level variance–covariance matrix. Residual correlations between traits were not estimated (</w:t>
      </w:r>
      <w:r>
        <w:rPr>
          <w:rStyle w:val="VerbatimChar"/>
        </w:rPr>
        <w:t xml:space="preserve">set_rescor(FALSE)</w:t>
      </w:r>
      <w:r>
        <w:t xml:space="preserve">). Female identity was included as a random effect for both traits to account for repeated measures. This model tested whether egg traits systematically differed between first and second clutches while accounting for among-female variation.</w:t>
      </w:r>
    </w:p>
    <w:p>
      <w:pPr>
        <w:pStyle w:val="BodyText"/>
      </w:pPr>
      <w:r>
        <w:t xml:space="preserve">I first calculated the raw phenotypic association between egg number and egg size across all observations using Pearson’s correlation coefficient (</w:t>
      </w:r>
      <w:r>
        <w:rPr>
          <w:i/>
          <w:iCs/>
        </w:rPr>
        <w:t xml:space="preserve">r</w:t>
      </w:r>
      <w:r>
        <w:t xml:space="preserve">). This estimate reflects the overall linear association between traits without accounting for repeated measures or hierarchical structure. To quantify among-female covariation, I calculated the Pearson correlation between female mean egg number and female mean egg size. Female means were calculated across broods. This approach isolates between-female covariance independent of within-female variation. To formally partition covariance into among-female and residual components, I fitted a multivariate Gaussian mixed-effects model:</w:t>
      </w:r>
    </w:p>
    <w:p>
      <w:pPr>
        <w:pStyle w:val="BodyText"/>
      </w:pPr>
      <w:bookmarkStart w:id="24" w:name="eq-residual"/>
      <m:oMathPara>
        <m:oMathParaPr>
          <m:jc m:val="center"/>
        </m:oMathParaPr>
        <m:oMath>
          <m:m>
            <m:mPr>
              <m:baseJc m:val="center"/>
              <m:plcHide m:val="on"/>
              <m:mcs>
                <m:mc>
                  <m:mcPr>
                    <m:mcJc m:val="right"/>
                    <m:count m:val="1"/>
                  </m:mcPr>
                </m:mc>
                <m:mc>
                  <m:mcPr>
                    <m:mcJc m:val="left"/>
                    <m:count m:val="1"/>
                  </m:mcPr>
                </m:mc>
              </m:mcs>
            </m:mPr>
            <m:mr>
              <m:e>
                <m:sSub>
                  <m:e>
                    <m:r>
                      <m:rPr>
                        <m:nor/>
                        <m:sty m:val="p"/>
                      </m:rPr>
                      <m:t>MeanEggSize</m:t>
                    </m:r>
                  </m:e>
                  <m:sub>
                    <m:r>
                      <m:t>i</m:t>
                    </m:r>
                    <m:r>
                      <m:t>j</m:t>
                    </m:r>
                  </m:sub>
                </m:sSub>
              </m:e>
              <m:e>
                <m:r>
                  <m:rPr>
                    <m:sty m:val="p"/>
                  </m:rPr>
                  <m:t>=</m:t>
                </m:r>
                <m:sSub>
                  <m:e>
                    <m:r>
                      <m:t>β</m:t>
                    </m:r>
                  </m:e>
                  <m:sub>
                    <m:r>
                      <m:t>1</m:t>
                    </m:r>
                    <m:r>
                      <m:rPr>
                        <m:sty m:val="p"/>
                      </m:rPr>
                      <m:t>,</m:t>
                    </m:r>
                    <m:r>
                      <m:t>0</m:t>
                    </m:r>
                  </m:sub>
                </m:sSub>
                <m:r>
                  <m:rPr>
                    <m:sty m:val="p"/>
                  </m:rPr>
                  <m:t>+</m:t>
                </m:r>
                <m:sSub>
                  <m:e>
                    <m:r>
                      <m:t>b</m:t>
                    </m:r>
                  </m:e>
                  <m:sub>
                    <m:r>
                      <m:t>1</m:t>
                    </m:r>
                    <m:r>
                      <m:rPr>
                        <m:sty m:val="p"/>
                      </m:rPr>
                      <m:t>,</m:t>
                    </m:r>
                    <m:r>
                      <m:t>i</m:t>
                    </m:r>
                  </m:sub>
                </m:sSub>
                <m:r>
                  <m:rPr>
                    <m:sty m:val="p"/>
                  </m:rPr>
                  <m:t>+</m:t>
                </m:r>
                <m:sSub>
                  <m:e>
                    <m:r>
                      <m:t>ε</m:t>
                    </m:r>
                  </m:e>
                  <m:sub>
                    <m:r>
                      <m:t>1</m:t>
                    </m:r>
                    <m:r>
                      <m:rPr>
                        <m:sty m:val="p"/>
                      </m:rPr>
                      <m:t>,</m:t>
                    </m:r>
                    <m:r>
                      <m:t>i</m:t>
                    </m:r>
                    <m:r>
                      <m:t>j</m:t>
                    </m:r>
                  </m:sub>
                </m:sSub>
              </m:e>
            </m:mr>
            <m:mr>
              <m:e/>
            </m:mr>
            <m:mr>
              <m:e>
                <m:sSub>
                  <m:e>
                    <m:r>
                      <m:rPr>
                        <m:nor/>
                        <m:sty m:val="p"/>
                      </m:rPr>
                      <m:t>EggNumber</m:t>
                    </m:r>
                  </m:e>
                  <m:sub>
                    <m:r>
                      <m:t>i</m:t>
                    </m:r>
                    <m:r>
                      <m:t>j</m:t>
                    </m:r>
                  </m:sub>
                </m:sSub>
              </m:e>
              <m:e>
                <m:r>
                  <m:rPr>
                    <m:sty m:val="p"/>
                  </m:rPr>
                  <m:t>=</m:t>
                </m:r>
                <m:sSub>
                  <m:e>
                    <m:r>
                      <m:t>β</m:t>
                    </m:r>
                  </m:e>
                  <m:sub>
                    <m:r>
                      <m:t>2</m:t>
                    </m:r>
                    <m:r>
                      <m:rPr>
                        <m:sty m:val="p"/>
                      </m:rPr>
                      <m:t>,</m:t>
                    </m:r>
                    <m:r>
                      <m:t>0</m:t>
                    </m:r>
                  </m:sub>
                </m:sSub>
                <m:r>
                  <m:rPr>
                    <m:sty m:val="p"/>
                  </m:rPr>
                  <m:t>+</m:t>
                </m:r>
                <m:sSub>
                  <m:e>
                    <m:r>
                      <m:t>b</m:t>
                    </m:r>
                  </m:e>
                  <m:sub>
                    <m:r>
                      <m:t>2</m:t>
                    </m:r>
                    <m:r>
                      <m:rPr>
                        <m:sty m:val="p"/>
                      </m:rPr>
                      <m:t>,</m:t>
                    </m:r>
                    <m:r>
                      <m:t>i</m:t>
                    </m:r>
                  </m:sub>
                </m:sSub>
                <m:r>
                  <m:rPr>
                    <m:sty m:val="p"/>
                  </m:rPr>
                  <m:t>+</m:t>
                </m:r>
                <m:sSub>
                  <m:e>
                    <m:r>
                      <m:t>ε</m:t>
                    </m:r>
                  </m:e>
                  <m:sub>
                    <m:r>
                      <m:t>2</m:t>
                    </m:r>
                    <m:r>
                      <m:rPr>
                        <m:sty m:val="p"/>
                      </m:rPr>
                      <m:t>,</m:t>
                    </m:r>
                    <m:r>
                      <m:t>i</m:t>
                    </m:r>
                    <m:r>
                      <m:t>j</m:t>
                    </m:r>
                  </m:sub>
                </m:sSub>
              </m:e>
            </m:mr>
          </m:m>
          <m:r>
            <m:t>  </m:t>
          </m:r>
          <m:d>
            <m:dPr>
              <m:begChr m:val="("/>
              <m:sepChr m:val=""/>
              <m:endChr m:val=")"/>
              <m:grow/>
            </m:dPr>
            <m:e>
              <m:r>
                <m:t>2</m:t>
              </m:r>
            </m:e>
          </m:d>
        </m:oMath>
      </m:oMathPara>
      <w:bookmarkEnd w:id="24"/>
    </w:p>
    <w:p>
      <w:pPr>
        <w:pStyle w:val="FirstParagraph"/>
      </w:pPr>
      <w:r>
        <w:t xml:space="preserve">with random effects and residuals distributed as: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b</m:t>
                        </m:r>
                      </m:e>
                      <m:sub>
                        <m:r>
                          <m:t>1</m:t>
                        </m:r>
                        <m:r>
                          <m:rPr>
                            <m:sty m:val="p"/>
                          </m:rPr>
                          <m:t>,</m:t>
                        </m:r>
                        <m:r>
                          <m:t>i</m:t>
                        </m:r>
                      </m:sub>
                    </m:sSub>
                  </m:e>
                </m:mr>
                <m:mr>
                  <m:e>
                    <m:sSub>
                      <m:e>
                        <m:r>
                          <m:t>b</m:t>
                        </m:r>
                      </m:e>
                      <m:sub>
                        <m:r>
                          <m:t>2</m:t>
                        </m:r>
                        <m:r>
                          <m:rPr>
                            <m:sty m:val="p"/>
                          </m:rPr>
                          <m:t>,</m:t>
                        </m:r>
                        <m:r>
                          <m:t>i</m:t>
                        </m:r>
                      </m:sub>
                    </m:sSub>
                  </m:e>
                </m:mr>
              </m:m>
            </m:e>
          </m:d>
          <m:r>
            <m:rPr>
              <m:sty m:val="p"/>
            </m:rPr>
            <m:t>∼</m:t>
          </m:r>
          <m:r>
            <m:rPr>
              <m:sty m:val="p"/>
              <m:scr m:val="script"/>
            </m:rPr>
            <m:t>M</m:t>
          </m:r>
          <m:r>
            <m:rPr>
              <m:sty m:val="p"/>
              <m:scr m:val="script"/>
            </m:rPr>
            <m:t>V</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b</m:t>
                  </m:r>
                </m:sub>
              </m:sSub>
            </m:e>
          </m:d>
          <m:r>
            <m:rPr>
              <m:sty m:val="p"/>
            </m:rPr>
            <m:t>,</m:t>
          </m:r>
          <m:r>
            <m:t>  </m:t>
          </m:r>
          <m:d>
            <m:dPr>
              <m:begChr m:val="("/>
              <m:sepChr m:val=""/>
              <m:endChr m:val=")"/>
              <m:grow/>
            </m:dPr>
            <m:e>
              <m:m>
                <m:mPr>
                  <m:baseJc m:val="center"/>
                  <m:plcHide m:val="on"/>
                  <m:mcs>
                    <m:mc>
                      <m:mcPr>
                        <m:mcJc m:val="center"/>
                        <m:count m:val="1"/>
                      </m:mcPr>
                    </m:mc>
                  </m:mcs>
                </m:mPr>
                <m:mr>
                  <m:e>
                    <m:sSub>
                      <m:e>
                        <m:r>
                          <m:t>ε</m:t>
                        </m:r>
                      </m:e>
                      <m:sub>
                        <m:r>
                          <m:t>1</m:t>
                        </m:r>
                        <m:r>
                          <m:rPr>
                            <m:sty m:val="p"/>
                          </m:rPr>
                          <m:t>,</m:t>
                        </m:r>
                        <m:r>
                          <m:t>i</m:t>
                        </m:r>
                        <m:r>
                          <m:t>j</m:t>
                        </m:r>
                      </m:sub>
                    </m:sSub>
                  </m:e>
                </m:mr>
                <m:mr>
                  <m:e>
                    <m:sSub>
                      <m:e>
                        <m:r>
                          <m:t>ε</m:t>
                        </m:r>
                      </m:e>
                      <m:sub>
                        <m:r>
                          <m:t>2</m:t>
                        </m:r>
                        <m:r>
                          <m:rPr>
                            <m:sty m:val="p"/>
                          </m:rPr>
                          <m:t>,</m:t>
                        </m:r>
                        <m:r>
                          <m:t>i</m:t>
                        </m:r>
                        <m:r>
                          <m:t>j</m:t>
                        </m:r>
                      </m:sub>
                    </m:sSub>
                  </m:e>
                </m:mr>
              </m:m>
            </m:e>
          </m:d>
          <m:r>
            <m:rPr>
              <m:sty m:val="p"/>
            </m:rPr>
            <m:t>∼</m:t>
          </m:r>
          <m:r>
            <m:rPr>
              <m:sty m:val="p"/>
              <m:scr m:val="script"/>
            </m:rPr>
            <m:t>M</m:t>
          </m:r>
          <m:r>
            <m:rPr>
              <m:sty m:val="p"/>
              <m:scr m:val="script"/>
            </m:rPr>
            <m:t>V</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ε</m:t>
                  </m:r>
                </m:sub>
              </m:sSub>
            </m:e>
          </m:d>
        </m:oMath>
      </m:oMathPara>
    </w:p>
    <w:p>
      <w:pPr>
        <w:pStyle w:val="FirstParagraph"/>
      </w:pPr>
      <w:r>
        <w:t xml:space="preserve">The covariance matrix</w:t>
      </w:r>
      <w:r>
        <w:t xml:space="preserve"> </w:t>
      </w:r>
      <m:oMath>
        <m:sSub>
          <m:e>
            <m:r>
              <m:t>Σ</m:t>
            </m:r>
          </m:e>
          <m:sub>
            <m:r>
              <m:t>b</m:t>
            </m:r>
          </m:sub>
        </m:sSub>
      </m:oMath>
      <w:r>
        <w:t xml:space="preserve"> </w:t>
      </w:r>
      <w:r>
        <w:t xml:space="preserve">captures among-female covariance, whereas</w:t>
      </w:r>
      <w:r>
        <w:t xml:space="preserve"> </w:t>
      </w:r>
      <m:oMath>
        <m:sSub>
          <m:e>
            <m:r>
              <m:t>Σ</m:t>
            </m:r>
          </m:e>
          <m:sub>
            <m:r>
              <m:t>ε</m:t>
            </m:r>
          </m:sub>
        </m:sSub>
      </m:oMath>
      <w:r>
        <w:t xml:space="preserve"> </w:t>
      </w:r>
      <w:r>
        <w:t xml:space="preserve">estimates residual (within-female) covariance after accounting for female identity (</w:t>
      </w:r>
      <w:r>
        <w:rPr>
          <w:rStyle w:val="VerbatimChar"/>
        </w:rPr>
        <w:t xml:space="preserve">set_rescor(TRUE)</w:t>
      </w:r>
      <w:r>
        <w:t xml:space="preserve">).</w:t>
      </w:r>
    </w:p>
    <w:p>
      <w:pPr>
        <w:pStyle w:val="BodyText"/>
      </w:pPr>
      <w:r>
        <w:t xml:space="preserve">In addition to calculating correlations between egg number and size at multiple levels, I also explicitly separated within- and between-female effects of egg number on egg size following van de Pol &amp; Wright</w:t>
      </w:r>
      <w:r>
        <w:t xml:space="preserve"> </w:t>
      </w:r>
      <w:r>
        <w:t xml:space="preserve">(</w:t>
      </w:r>
      <w:r>
        <w:rPr>
          <w:b/>
          <w:bCs/>
        </w:rPr>
        <w:t xml:space="preserve">vandepol2009?</w:t>
      </w:r>
      <w:r>
        <w:t xml:space="preserve">)</w:t>
      </w:r>
      <w:r>
        <w:t xml:space="preserve"> </w:t>
      </w:r>
      <w:r>
        <w:t xml:space="preserve">by decomposing egg number as:</w:t>
      </w:r>
    </w:p>
    <w:p>
      <w:pPr>
        <w:pStyle w:val="Compact"/>
        <w:numPr>
          <w:ilvl w:val="0"/>
          <w:numId w:val="1001"/>
        </w:numPr>
      </w:pPr>
      <w:r>
        <w:t xml:space="preserve">Within-female deviation</w:t>
      </w:r>
    </w:p>
    <w:p>
      <w:pPr>
        <w:pStyle w:val="FirstParagraph"/>
      </w:pPr>
      <w:bookmarkStart w:id="25" w:name="eq-within"/>
      <m:oMathPara>
        <m:oMathParaPr>
          <m:jc m:val="center"/>
        </m:oMathParaPr>
        <m:oMath>
          <m:sSub>
            <m:e>
              <m:r>
                <m:rPr>
                  <m:nor/>
                  <m:sty m:val="p"/>
                </m:rPr>
                <m:t>EggNumber</m:t>
              </m:r>
            </m:e>
            <m:sub>
              <m:r>
                <m:rPr>
                  <m:nor/>
                  <m:sty m:val="p"/>
                </m:rPr>
                <m:t>within</m:t>
              </m:r>
              <m:r>
                <m:rPr>
                  <m:sty m:val="p"/>
                </m:rPr>
                <m:t>,</m:t>
              </m:r>
              <m:r>
                <m:t>i</m:t>
              </m:r>
              <m:r>
                <m:t>j</m:t>
              </m:r>
            </m:sub>
          </m:sSub>
          <m:r>
            <m:rPr>
              <m:sty m:val="p"/>
            </m:rPr>
            <m:t>=</m:t>
          </m:r>
          <m:sSub>
            <m:e>
              <m:r>
                <m:rPr>
                  <m:nor/>
                  <m:sty m:val="p"/>
                </m:rPr>
                <m:t>EggNumber</m:t>
              </m:r>
            </m:e>
            <m:sub>
              <m:r>
                <m:t>i</m:t>
              </m:r>
              <m:r>
                <m:t>j</m:t>
              </m:r>
            </m:sub>
          </m:sSub>
          <m:r>
            <m:rPr>
              <m:sty m:val="p"/>
            </m:rPr>
            <m:t>−</m:t>
          </m:r>
          <m:sSub>
            <m:e>
              <m:acc>
                <m:accPr>
                  <m:chr m:val="‾"/>
                </m:accPr>
                <m:e>
                  <m:r>
                    <m:rPr>
                      <m:nor/>
                      <m:sty m:val="p"/>
                    </m:rPr>
                    <m:t>EggNumber</m:t>
                  </m:r>
                </m:e>
              </m:acc>
            </m:e>
            <m:sub>
              <m:r>
                <m:t>i</m:t>
              </m:r>
            </m:sub>
          </m:sSub>
          <m:r>
            <m:t>  </m:t>
          </m:r>
          <m:d>
            <m:dPr>
              <m:begChr m:val="("/>
              <m:sepChr m:val=""/>
              <m:endChr m:val=")"/>
              <m:grow/>
            </m:dPr>
            <m:e>
              <m:r>
                <m:t>3</m:t>
              </m:r>
            </m:e>
          </m:d>
        </m:oMath>
      </m:oMathPara>
      <w:bookmarkEnd w:id="25"/>
    </w:p>
    <w:p>
      <w:pPr>
        <w:pStyle w:val="Compact"/>
        <w:numPr>
          <w:ilvl w:val="0"/>
          <w:numId w:val="1002"/>
        </w:numPr>
      </w:pPr>
      <w:r>
        <w:t xml:space="preserve">Between-female component</w:t>
      </w:r>
    </w:p>
    <w:p>
      <w:pPr>
        <w:pStyle w:val="FirstParagraph"/>
      </w:pPr>
      <w:bookmarkStart w:id="26" w:name="eq-between"/>
      <m:oMathPara>
        <m:oMathParaPr>
          <m:jc m:val="center"/>
        </m:oMathParaPr>
        <m:oMath>
          <m:sSub>
            <m:e>
              <m:r>
                <m:rPr>
                  <m:nor/>
                  <m:sty m:val="p"/>
                </m:rPr>
                <m:t>EggNumber</m:t>
              </m:r>
            </m:e>
            <m:sub>
              <m:r>
                <m:rPr>
                  <m:nor/>
                  <m:sty m:val="p"/>
                </m:rPr>
                <m:t>between</m:t>
              </m:r>
              <m:r>
                <m:rPr>
                  <m:sty m:val="p"/>
                </m:rPr>
                <m:t>,</m:t>
              </m:r>
              <m:r>
                <m:t>i</m:t>
              </m:r>
            </m:sub>
          </m:sSub>
          <m:r>
            <m:rPr>
              <m:sty m:val="p"/>
            </m:rPr>
            <m:t>=</m:t>
          </m:r>
          <m:sSub>
            <m:e>
              <m:acc>
                <m:accPr>
                  <m:chr m:val="‾"/>
                </m:accPr>
                <m:e>
                  <m:r>
                    <m:rPr>
                      <m:nor/>
                      <m:sty m:val="p"/>
                    </m:rPr>
                    <m:t>EggNumber</m:t>
                  </m:r>
                </m:e>
              </m:acc>
            </m:e>
            <m:sub>
              <m:r>
                <m:t>i</m:t>
              </m:r>
            </m:sub>
          </m:sSub>
          <m:r>
            <m:rPr>
              <m:sty m:val="p"/>
            </m:rPr>
            <m:t>−</m:t>
          </m:r>
          <m:acc>
            <m:accPr>
              <m:chr m:val="‾"/>
            </m:accPr>
            <m:e>
              <m:r>
                <m:rPr>
                  <m:nor/>
                  <m:sty m:val="p"/>
                </m:rPr>
                <m:t>EggNumber</m:t>
              </m:r>
            </m:e>
          </m:acc>
          <m:r>
            <m:t>  </m:t>
          </m:r>
          <m:d>
            <m:dPr>
              <m:begChr m:val="("/>
              <m:sepChr m:val=""/>
              <m:endChr m:val=")"/>
              <m:grow/>
            </m:dPr>
            <m:e>
              <m:r>
                <m:t>4</m:t>
              </m:r>
            </m:e>
          </m:d>
        </m:oMath>
      </m:oMathPara>
      <w:bookmarkEnd w:id="26"/>
    </w:p>
    <w:p>
      <w:pPr>
        <w:pStyle w:val="FirstParagraph"/>
      </w:pPr>
      <w:r>
        <w:t xml:space="preserve">I then fitted the following linear mixed-effects model:</w:t>
      </w:r>
    </w:p>
    <w:p>
      <w:pPr>
        <w:pStyle w:val="BodyText"/>
      </w:pPr>
      <w:bookmarkStart w:id="27" w:name="eq-withinbetween"/>
      <m:oMathPara>
        <m:oMathParaPr>
          <m:jc m:val="center"/>
        </m:oMathParaPr>
        <m:oMath>
          <m:sSub>
            <m:e>
              <m:r>
                <m:rPr>
                  <m:nor/>
                  <m:sty m:val="p"/>
                </m:rPr>
                <m:t>MeanEggSize</m:t>
              </m:r>
            </m:e>
            <m:sub>
              <m:r>
                <m:t>i</m:t>
              </m:r>
              <m:r>
                <m:t>j</m:t>
              </m:r>
            </m:sub>
          </m:sSub>
          <m:r>
            <m:rPr>
              <m:sty m:val="p"/>
            </m:rPr>
            <m:t>=</m:t>
          </m:r>
          <m:sSub>
            <m:e>
              <m:r>
                <m:t>β</m:t>
              </m:r>
            </m:e>
            <m:sub>
              <m:r>
                <m:t>0</m:t>
              </m:r>
            </m:sub>
          </m:sSub>
          <m:r>
            <m:rPr>
              <m:sty m:val="p"/>
            </m:rPr>
            <m:t>+</m:t>
          </m:r>
          <m:sSub>
            <m:e>
              <m:r>
                <m:t>β</m:t>
              </m:r>
            </m:e>
            <m:sub>
              <m:r>
                <m:t>W</m:t>
              </m:r>
            </m:sub>
          </m:sSub>
          <m:r>
            <m:t> </m:t>
          </m:r>
          <m:sSub>
            <m:e>
              <m:r>
                <m:rPr>
                  <m:nor/>
                  <m:sty m:val="p"/>
                </m:rPr>
                <m:t>EggNumber</m:t>
              </m:r>
            </m:e>
            <m:sub>
              <m:r>
                <m:rPr>
                  <m:nor/>
                  <m:sty m:val="p"/>
                </m:rPr>
                <m:t>within</m:t>
              </m:r>
              <m:r>
                <m:rPr>
                  <m:sty m:val="p"/>
                </m:rPr>
                <m:t>,</m:t>
              </m:r>
              <m:r>
                <m:t>i</m:t>
              </m:r>
              <m:r>
                <m:t>j</m:t>
              </m:r>
            </m:sub>
          </m:sSub>
          <m:r>
            <m:rPr>
              <m:sty m:val="p"/>
            </m:rPr>
            <m:t>+</m:t>
          </m:r>
          <m:sSub>
            <m:e>
              <m:r>
                <m:t>β</m:t>
              </m:r>
            </m:e>
            <m:sub>
              <m:r>
                <m:t>B</m:t>
              </m:r>
            </m:sub>
          </m:sSub>
          <m:r>
            <m:t> </m:t>
          </m:r>
          <m:sSub>
            <m:e>
              <m:r>
                <m:rPr>
                  <m:nor/>
                  <m:sty m:val="p"/>
                </m:rPr>
                <m:t>EggNumber</m:t>
              </m:r>
            </m:e>
            <m:sub>
              <m:r>
                <m:rPr>
                  <m:nor/>
                  <m:sty m:val="p"/>
                </m:rPr>
                <m:t>between</m:t>
              </m:r>
              <m:r>
                <m:rPr>
                  <m:sty m:val="p"/>
                </m:rPr>
                <m:t>,</m:t>
              </m:r>
              <m:r>
                <m:t>i</m:t>
              </m:r>
            </m:sub>
          </m:sSub>
          <m:r>
            <m:rPr>
              <m:sty m:val="p"/>
            </m:rPr>
            <m:t>+</m:t>
          </m:r>
          <m:sSub>
            <m:e>
              <m:r>
                <m:t>b</m:t>
              </m:r>
            </m:e>
            <m:sub>
              <m:r>
                <m:t>0</m:t>
              </m:r>
              <m:r>
                <m:t>i</m:t>
              </m:r>
            </m:sub>
          </m:sSub>
          <m:r>
            <m:rPr>
              <m:sty m:val="p"/>
            </m:rPr>
            <m:t>+</m:t>
          </m:r>
          <m:sSub>
            <m:e>
              <m:r>
                <m:t>ε</m:t>
              </m:r>
            </m:e>
            <m:sub>
              <m:r>
                <m:t>i</m:t>
              </m:r>
              <m:r>
                <m:t>j</m:t>
              </m:r>
            </m:sub>
          </m:sSub>
          <m:r>
            <m:t>  </m:t>
          </m:r>
          <m:d>
            <m:dPr>
              <m:begChr m:val="("/>
              <m:sepChr m:val=""/>
              <m:endChr m:val=")"/>
              <m:grow/>
            </m:dPr>
            <m:e>
              <m:r>
                <m:t>5</m:t>
              </m:r>
            </m:e>
          </m:d>
        </m:oMath>
      </m:oMathPara>
      <w:bookmarkEnd w:id="27"/>
    </w:p>
    <w:p>
      <w:pPr>
        <w:pStyle w:val="FirstParagraph"/>
      </w:pPr>
      <w:r>
        <w:t xml:space="preserve">with</w:t>
      </w:r>
    </w:p>
    <w:p>
      <w:pPr>
        <w:pStyle w:val="BodyText"/>
      </w:pPr>
      <m:oMathPara>
        <m:oMathParaPr>
          <m:jc m:val="center"/>
        </m:oMathParaPr>
        <m:oMath>
          <m:sSub>
            <m:e>
              <m:r>
                <m:t>b</m:t>
              </m:r>
            </m:e>
            <m:sub>
              <m:r>
                <m:t>0</m:t>
              </m:r>
              <m:r>
                <m:t>i</m:t>
              </m:r>
            </m:sub>
          </m:sSub>
          <m:r>
            <m:rPr>
              <m:sty m:val="p"/>
            </m:rPr>
            <m:t>∼</m:t>
          </m:r>
          <m:r>
            <m:rPr>
              <m:sty m:val="p"/>
              <m:scr m:val="script"/>
            </m:rPr>
            <m:t>N</m:t>
          </m:r>
          <m:d>
            <m:dPr>
              <m:begChr m:val="("/>
              <m:sepChr m:val=""/>
              <m:endChr m:val=")"/>
              <m:grow/>
            </m:dPr>
            <m:e>
              <m:r>
                <m:t>0</m:t>
              </m:r>
              <m:r>
                <m:rPr>
                  <m:sty m:val="p"/>
                </m:rPr>
                <m:t>,</m:t>
              </m:r>
              <m:sSubSup>
                <m:e>
                  <m:r>
                    <m:t>σ</m:t>
                  </m:r>
                </m:e>
                <m:sub>
                  <m:r>
                    <m:rPr>
                      <m:nor/>
                      <m:sty m:val="p"/>
                    </m:rPr>
                    <m:t>id</m:t>
                  </m:r>
                </m:sub>
                <m:sup>
                  <m:r>
                    <m:t>2</m:t>
                  </m:r>
                </m:sup>
              </m:sSubSup>
            </m:e>
          </m:d>
          <m:r>
            <m:rPr>
              <m:sty m:val="p"/>
            </m:rPr>
            <m:t>,</m:t>
          </m:r>
          <m:r>
            <m:t>  </m:t>
          </m:r>
          <m:sSub>
            <m:e>
              <m:r>
                <m:t>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oMath>
      </m:oMathPara>
    </w:p>
    <w:p>
      <w:pPr>
        <w:pStyle w:val="FirstParagraph"/>
      </w:pPr>
      <w:r>
        <w:t xml:space="preserve">The coefficient</w:t>
      </w:r>
      <w:r>
        <w:t xml:space="preserve"> </w:t>
      </w:r>
      <m:oMath>
        <m:sSub>
          <m:e>
            <m:r>
              <m:t>β</m:t>
            </m:r>
          </m:e>
          <m:sub>
            <m:r>
              <m:t>W</m:t>
            </m:r>
          </m:sub>
        </m:sSub>
      </m:oMath>
      <w:r>
        <w:t xml:space="preserve"> </w:t>
      </w:r>
      <w:r>
        <w:t xml:space="preserve">estimates the within-female (plastic) effect of egg number on egg size, whereas</w:t>
      </w:r>
      <w:r>
        <w:t xml:space="preserve"> </w:t>
      </w:r>
      <m:oMath>
        <m:sSub>
          <m:e>
            <m:r>
              <m:t>β</m:t>
            </m:r>
          </m:e>
          <m:sub>
            <m:r>
              <m:t>B</m:t>
            </m:r>
          </m:sub>
        </m:sSub>
      </m:oMath>
      <w:r>
        <w:t xml:space="preserve"> </w:t>
      </w:r>
      <w:r>
        <w:t xml:space="preserve">estimates the between-female (strategic) effect.</w:t>
      </w:r>
    </w:p>
    <w:p>
      <w:pPr>
        <w:pStyle w:val="BodyText"/>
      </w:pPr>
      <w:r>
        <w:t xml:space="preserve">To facilitate comparison of effect sizes, continuous predictors were standardized by subtracting the mean and dividing by the standard deviation:</w:t>
      </w:r>
    </w:p>
    <w:p>
      <w:pPr>
        <w:pStyle w:val="BodyText"/>
      </w:pPr>
      <w:bookmarkStart w:id="28" w:name="eq-standardization"/>
      <m:oMathPara>
        <m:oMathParaPr>
          <m:jc m:val="center"/>
        </m:oMathParaPr>
        <m:oMath>
          <m:sSub>
            <m:e>
              <m:r>
                <m:t>X</m:t>
              </m:r>
            </m:e>
            <m:sub>
              <m:r>
                <m:rPr>
                  <m:nor/>
                  <m:sty m:val="p"/>
                </m:rPr>
                <m:t>std</m:t>
              </m:r>
            </m:sub>
          </m:sSub>
          <m:r>
            <m:rPr>
              <m:sty m:val="p"/>
            </m:rPr>
            <m:t>=</m:t>
          </m:r>
          <m:f>
            <m:fPr>
              <m:type m:val="bar"/>
            </m:fPr>
            <m:num>
              <m:r>
                <m:t>X</m:t>
              </m:r>
              <m:r>
                <m:rPr>
                  <m:sty m:val="p"/>
                </m:rPr>
                <m:t>−</m:t>
              </m:r>
              <m:acc>
                <m:accPr>
                  <m:chr m:val="‾"/>
                </m:accPr>
                <m:e>
                  <m:r>
                    <m:t>X</m:t>
                  </m:r>
                </m:e>
              </m:acc>
            </m:num>
            <m:den>
              <m:r>
                <m:rPr>
                  <m:sty m:val="p"/>
                </m:rPr>
                <m:t>S</m:t>
              </m:r>
              <m:r>
                <m:rPr>
                  <m:sty m:val="p"/>
                </m:rPr>
                <m:t>D</m:t>
              </m:r>
              <m:d>
                <m:dPr>
                  <m:begChr m:val="("/>
                  <m:sepChr m:val=""/>
                  <m:endChr m:val=")"/>
                  <m:grow/>
                </m:dPr>
                <m:e>
                  <m:r>
                    <m:t>X</m:t>
                  </m:r>
                </m:e>
              </m:d>
            </m:den>
          </m:f>
          <m:r>
            <m:t>  </m:t>
          </m:r>
          <m:d>
            <m:dPr>
              <m:begChr m:val="("/>
              <m:sepChr m:val=""/>
              <m:endChr m:val=")"/>
              <m:grow/>
            </m:dPr>
            <m:e>
              <m:r>
                <m:t>6</m:t>
              </m:r>
            </m:e>
          </m:d>
        </m:oMath>
      </m:oMathPara>
      <w:bookmarkEnd w:id="28"/>
    </w:p>
    <w:p>
      <w:pPr>
        <w:pStyle w:val="FirstParagraph"/>
      </w:pPr>
      <w:r>
        <w:t xml:space="preserve">The within-female and between-female components were standardized across their respective distributions. When estimating standardized regression coefficients, the response variable was also scaled to unit standard deviation. Standardized coefficients therefore represent the expected change (in standard deviation units) in egg size per one standard deviation change in the predictor.</w:t>
      </w:r>
    </w:p>
    <w:p>
      <w:pPr>
        <w:pStyle w:val="BodyText"/>
      </w:pPr>
      <w:r>
        <w:t xml:space="preserve">To test whether females differed in their propensity to trade off egg size against egg number, I fitted a random-slopes model allowing the within-female effect of egg number to vary among females:</w:t>
      </w:r>
    </w:p>
    <w:p>
      <w:pPr>
        <w:pStyle w:val="BodyText"/>
      </w:pPr>
      <w:bookmarkStart w:id="29" w:name="eq-randomslopes"/>
      <m:oMathPara>
        <m:oMathParaPr>
          <m:jc m:val="center"/>
        </m:oMathParaPr>
        <m:oMath>
          <m:sSub>
            <m:e>
              <m:r>
                <m:rPr>
                  <m:nor/>
                  <m:sty m:val="p"/>
                </m:rPr>
                <m:t>mean egg size</m:t>
              </m:r>
            </m:e>
            <m:sub>
              <m:r>
                <m:t>i</m:t>
              </m:r>
              <m:r>
                <m:t>j</m:t>
              </m:r>
            </m:sub>
          </m:sSub>
          <m:r>
            <m:rPr>
              <m:sty m:val="p"/>
            </m:rPr>
            <m:t>=</m:t>
          </m:r>
          <m:sSub>
            <m:e>
              <m:r>
                <m:t>β</m:t>
              </m:r>
            </m:e>
            <m:sub>
              <m:r>
                <m:t>0</m:t>
              </m:r>
            </m:sub>
          </m:sSub>
          <m:r>
            <m:rPr>
              <m:sty m:val="p"/>
            </m:rPr>
            <m:t>+</m:t>
          </m:r>
          <m:sSub>
            <m:e>
              <m:r>
                <m:t>β</m:t>
              </m:r>
            </m:e>
            <m:sub>
              <m:r>
                <m:t>W</m:t>
              </m:r>
            </m:sub>
          </m:sSub>
          <m:r>
            <m:t> </m:t>
          </m:r>
          <m:sSub>
            <m:e>
              <m:r>
                <m:rPr>
                  <m:nor/>
                  <m:sty m:val="p"/>
                </m:rPr>
                <m:t>egg_number</m:t>
              </m:r>
            </m:e>
            <m:sub>
              <m:r>
                <m:rPr>
                  <m:nor/>
                  <m:sty m:val="p"/>
                </m:rPr>
                <m:t>within</m:t>
              </m:r>
              <m:r>
                <m:rPr>
                  <m:sty m:val="p"/>
                </m:rPr>
                <m:t>,</m:t>
              </m:r>
              <m:r>
                <m:t>i</m:t>
              </m:r>
              <m:r>
                <m:t>j</m:t>
              </m:r>
            </m:sub>
          </m:sSub>
          <m:r>
            <m:rPr>
              <m:sty m:val="p"/>
            </m:rPr>
            <m:t>+</m:t>
          </m:r>
          <m:sSub>
            <m:e>
              <m:r>
                <m:t>β</m:t>
              </m:r>
            </m:e>
            <m:sub>
              <m:r>
                <m:t>B</m:t>
              </m:r>
            </m:sub>
          </m:sSub>
          <m:r>
            <m:t> </m:t>
          </m:r>
          <m:sSub>
            <m:e>
              <m:r>
                <m:rPr>
                  <m:nor/>
                  <m:sty m:val="p"/>
                </m:rPr>
                <m:t>egg_number</m:t>
              </m:r>
            </m:e>
            <m:sub>
              <m:r>
                <m:rPr>
                  <m:nor/>
                  <m:sty m:val="p"/>
                </m:rPr>
                <m:t>between</m:t>
              </m:r>
              <m:r>
                <m:rPr>
                  <m:sty m:val="p"/>
                </m:rPr>
                <m:t>,</m:t>
              </m:r>
              <m:r>
                <m:t>i</m:t>
              </m:r>
            </m:sub>
          </m:sSub>
          <m:r>
            <m:rPr>
              <m:sty m:val="p"/>
            </m:rPr>
            <m:t>+</m:t>
          </m:r>
          <m:d>
            <m:dPr>
              <m:begChr m:val="("/>
              <m:sepChr m:val=""/>
              <m:endChr m:val=")"/>
              <m:grow/>
            </m:dPr>
            <m:e>
              <m:r>
                <m:t>1</m:t>
              </m:r>
              <m:r>
                <m:rPr>
                  <m:sty m:val="p"/>
                </m:rPr>
                <m:t>+</m:t>
              </m:r>
              <m:sSub>
                <m:e>
                  <m:r>
                    <m:rPr>
                      <m:nor/>
                      <m:sty m:val="p"/>
                    </m:rPr>
                    <m:t>egg_number</m:t>
                  </m:r>
                </m:e>
                <m:sub>
                  <m:r>
                    <m:rPr>
                      <m:nor/>
                      <m:sty m:val="p"/>
                    </m:rPr>
                    <m:t>within</m:t>
                  </m:r>
                </m:sub>
              </m:sSub>
              <m:r>
                <m:rPr>
                  <m:sty m:val="p"/>
                </m:rPr>
                <m:t>∣</m:t>
              </m:r>
              <m:r>
                <m:rPr>
                  <m:nor/>
                  <m:sty m:val="p"/>
                </m:rPr>
                <m:t>id</m:t>
              </m:r>
            </m:e>
          </m:d>
          <m:r>
            <m:rPr>
              <m:sty m:val="p"/>
            </m:rPr>
            <m:t>+</m:t>
          </m:r>
          <m:sSub>
            <m:e>
              <m:r>
                <m:t>ε</m:t>
              </m:r>
            </m:e>
            <m:sub>
              <m:r>
                <m:t>i</m:t>
              </m:r>
              <m:r>
                <m:t>j</m:t>
              </m:r>
            </m:sub>
          </m:sSub>
          <m:r>
            <m:t>  </m:t>
          </m:r>
          <m:d>
            <m:dPr>
              <m:begChr m:val="("/>
              <m:sepChr m:val=""/>
              <m:endChr m:val=")"/>
              <m:grow/>
            </m:dPr>
            <m:e>
              <m:r>
                <m:t>7</m:t>
              </m:r>
            </m:e>
          </m:d>
        </m:oMath>
      </m:oMathPara>
      <w:bookmarkEnd w:id="29"/>
    </w:p>
    <w:p>
      <w:pPr>
        <w:pStyle w:val="FirstParagraph"/>
      </w:pPr>
      <w:r>
        <w:t xml:space="preserve">This model estimates variance in within-female slopes as well as the intercept–slope correlation, thereby quantifying heterogeneity in allocation strategies. Specifically, it allows assessment of whether females with larger average egg size differ systematically in the strength or direction of their within-female trade-off. This model was used to quantify individual variation in slopes but not to derive standardized fixed effects.</w:t>
      </w:r>
    </w:p>
    <w:p>
      <w:pPr>
        <w:pStyle w:val="BodyText"/>
      </w:pPr>
      <w:r>
        <w:t xml:space="preserve">Because both egg number and egg size varied systematically across clutches, we tested whether clutch order explained the within-female association by including clutch as a fixed effect in the within–between model:</w:t>
      </w:r>
    </w:p>
    <w:p>
      <w:pPr>
        <w:pStyle w:val="BodyText"/>
      </w:pPr>
      <w:bookmarkStart w:id="30" w:name="eq-clutchorderwithinbetween"/>
      <m:oMathPara>
        <m:oMathParaPr>
          <m:jc m:val="center"/>
        </m:oMathParaPr>
        <m:oMath>
          <m:sSub>
            <m:e>
              <m:r>
                <m:rPr>
                  <m:nor/>
                  <m:sty m:val="p"/>
                </m:rPr>
                <m:t>mean egg size</m:t>
              </m:r>
            </m:e>
            <m:sub>
              <m:r>
                <m:t>i</m:t>
              </m:r>
              <m:r>
                <m:t>j</m:t>
              </m:r>
            </m:sub>
          </m:sSub>
          <m:r>
            <m:rPr>
              <m:sty m:val="p"/>
            </m:rPr>
            <m:t>=</m:t>
          </m:r>
          <m:sSub>
            <m:e>
              <m:r>
                <m:t>β</m:t>
              </m:r>
            </m:e>
            <m:sub>
              <m:r>
                <m:t>0</m:t>
              </m:r>
            </m:sub>
          </m:sSub>
          <m:r>
            <m:rPr>
              <m:sty m:val="p"/>
            </m:rPr>
            <m:t>+</m:t>
          </m:r>
          <m:sSub>
            <m:e>
              <m:r>
                <m:t>β</m:t>
              </m:r>
            </m:e>
            <m:sub>
              <m:r>
                <m:t>W</m:t>
              </m:r>
            </m:sub>
          </m:sSub>
          <m:r>
            <m:t> </m:t>
          </m:r>
          <m:sSub>
            <m:e>
              <m:r>
                <m:rPr>
                  <m:nor/>
                  <m:sty m:val="p"/>
                </m:rPr>
                <m:t>egg_number</m:t>
              </m:r>
            </m:e>
            <m:sub>
              <m:r>
                <m:rPr>
                  <m:nor/>
                  <m:sty m:val="p"/>
                </m:rPr>
                <m:t>within</m:t>
              </m:r>
              <m:r>
                <m:rPr>
                  <m:sty m:val="p"/>
                </m:rPr>
                <m:t>,</m:t>
              </m:r>
              <m:r>
                <m:t>i</m:t>
              </m:r>
              <m:r>
                <m:t>j</m:t>
              </m:r>
            </m:sub>
          </m:sSub>
          <m:r>
            <m:rPr>
              <m:sty m:val="p"/>
            </m:rPr>
            <m:t>+</m:t>
          </m:r>
          <m:sSub>
            <m:e>
              <m:r>
                <m:t>β</m:t>
              </m:r>
            </m:e>
            <m:sub>
              <m:r>
                <m:t>B</m:t>
              </m:r>
            </m:sub>
          </m:sSub>
          <m:r>
            <m:t> </m:t>
          </m:r>
          <m:sSub>
            <m:e>
              <m:r>
                <m:rPr>
                  <m:nor/>
                  <m:sty m:val="p"/>
                </m:rPr>
                <m:t>egg_number</m:t>
              </m:r>
            </m:e>
            <m:sub>
              <m:r>
                <m:rPr>
                  <m:nor/>
                  <m:sty m:val="p"/>
                </m:rPr>
                <m:t>between</m:t>
              </m:r>
              <m:r>
                <m:rPr>
                  <m:sty m:val="p"/>
                </m:rPr>
                <m:t>,</m:t>
              </m:r>
              <m:r>
                <m:t>i</m:t>
              </m:r>
            </m:sub>
          </m:sSub>
          <m:r>
            <m:rPr>
              <m:sty m:val="p"/>
            </m:rPr>
            <m:t>+</m:t>
          </m:r>
          <m:sSub>
            <m:e>
              <m:r>
                <m:t>β</m:t>
              </m:r>
            </m:e>
            <m:sub>
              <m:r>
                <m:rPr>
                  <m:nor/>
                  <m:sty m:val="p"/>
                </m:rPr>
                <m:t>brood</m:t>
              </m:r>
            </m:sub>
          </m:sSub>
          <m:r>
            <m:t> </m:t>
          </m:r>
          <m:sSub>
            <m:e>
              <m:r>
                <m:rPr>
                  <m:nor/>
                  <m:sty m:val="p"/>
                </m:rPr>
                <m:t>brood</m:t>
              </m:r>
            </m:e>
            <m:sub>
              <m:r>
                <m:t>i</m:t>
              </m:r>
              <m:r>
                <m:t>j</m:t>
              </m:r>
            </m:sub>
          </m:sSub>
          <m:r>
            <m:rPr>
              <m:sty m:val="p"/>
            </m:rPr>
            <m:t>+</m:t>
          </m:r>
          <m:sSub>
            <m:e>
              <m:r>
                <m:t>b</m:t>
              </m:r>
            </m:e>
            <m:sub>
              <m:r>
                <m:t>0</m:t>
              </m:r>
              <m:r>
                <m:t>i</m:t>
              </m:r>
            </m:sub>
          </m:sSub>
          <m:r>
            <m:rPr>
              <m:sty m:val="p"/>
            </m:rPr>
            <m:t>+</m:t>
          </m:r>
          <m:sSub>
            <m:e>
              <m:r>
                <m:t>ε</m:t>
              </m:r>
            </m:e>
            <m:sub>
              <m:r>
                <m:t>i</m:t>
              </m:r>
              <m:r>
                <m:t>j</m:t>
              </m:r>
            </m:sub>
          </m:sSub>
          <m:r>
            <m:t>  </m:t>
          </m:r>
          <m:d>
            <m:dPr>
              <m:begChr m:val="("/>
              <m:sepChr m:val=""/>
              <m:endChr m:val=")"/>
              <m:grow/>
            </m:dPr>
            <m:e>
              <m:r>
                <m:t>8</m:t>
              </m:r>
            </m:e>
          </m:d>
        </m:oMath>
      </m:oMathPara>
      <w:bookmarkEnd w:id="30"/>
    </w:p>
    <w:p>
      <w:pPr>
        <w:pStyle w:val="FirstParagraph"/>
      </w:pPr>
      <w:r>
        <w:t xml:space="preserve">This model evaluates whether the within-female slope persists after accounting for systematic clutch-related shifts in reproductive output. A reduction of</w:t>
      </w:r>
      <w:r>
        <w:t xml:space="preserve"> </w:t>
      </w:r>
      <m:oMath>
        <m:sSub>
          <m:e>
            <m:r>
              <m:t>β</m:t>
            </m:r>
          </m:e>
          <m:sub>
            <m:r>
              <m:t>W</m:t>
            </m:r>
          </m:sub>
        </m:sSub>
      </m:oMath>
      <w:r>
        <w:t xml:space="preserve"> </w:t>
      </w:r>
      <w:r>
        <w:t xml:space="preserve">toward zero indicates that any apparent within-female association was driven by parallel clutch-order changes rather than plastic allocation per se.</w:t>
      </w:r>
    </w:p>
    <w:p>
      <w:pPr>
        <w:pStyle w:val="BodyText"/>
      </w:pPr>
      <w:r>
        <w:t xml:space="preserve">Weakly informative priors were specified for all model parameters to regularize estimation while remaining minimally restrictive. All models were fitted using Markov chain Monte Carlo (MCMC) sampling with four independent chains and 4,000 iterations to ensure adequate posterior exploration. Convergence was evaluated using the potential scale reduction factor (</w:t>
      </w:r>
      <m:oMath>
        <m:acc>
          <m:accPr>
            <m:chr m:val="̂"/>
          </m:accPr>
          <m:e>
            <m:r>
              <m:t>R</m:t>
            </m:r>
          </m:e>
        </m:acc>
      </m:oMath>
      <w:r>
        <w:t xml:space="preserve"> </w:t>
      </w:r>
      <w:r>
        <w:t xml:space="preserve">= 1.00), effective sample sizes (bulk and tail ESS), and visual inspection of trace plots. All reported parameters satisfied standard convergence criteria (</w:t>
      </w:r>
      <m:oMath>
        <m:acc>
          <m:accPr>
            <m:chr m:val="̂"/>
          </m:accPr>
          <m:e>
            <m:r>
              <m:t>R</m:t>
            </m:r>
          </m:e>
        </m:acc>
        <m:r>
          <m:rPr>
            <m:sty m:val="p"/>
          </m:rPr>
          <m:t>≈</m:t>
        </m:r>
        <m:r>
          <m:t>1.00</m:t>
        </m:r>
      </m:oMath>
      <w:r>
        <w:t xml:space="preserve">). Parameter estimates are presented as posterior means with 95% credible intervals derived from the posterior distributions. Inference was based on CrIs that did not include zero.</w:t>
      </w:r>
    </w:p>
    <w:p>
      <w:pPr>
        <w:pStyle w:val="BodyText"/>
      </w:pPr>
      <w:r>
        <w:t xml:space="preserve">I examined whether the first and second clutches of eggs differed in egg size variation among (</w:t>
      </w:r>
      <w:r>
        <w:rPr>
          <w:i/>
          <w:iCs/>
        </w:rPr>
        <w:t xml:space="preserve">V</w:t>
      </w:r>
      <w:r>
        <w:rPr>
          <w:vertAlign w:val="subscript"/>
        </w:rPr>
        <w:t xml:space="preserve">among</w:t>
      </w:r>
      <w:r>
        <w:t xml:space="preserve">) and within (</w:t>
      </w:r>
      <w:r>
        <w:rPr>
          <w:i/>
          <w:iCs/>
        </w:rPr>
        <w:t xml:space="preserve">V</w:t>
      </w:r>
      <w:r>
        <w:rPr>
          <w:vertAlign w:val="subscript"/>
        </w:rPr>
        <w:t xml:space="preserve">within</w:t>
      </w:r>
      <w:r>
        <w:t xml:space="preserve">)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tested whether the first and second clutch differed in egg size at the among- and within-female levels. Data were visualized using</w:t>
      </w:r>
      <w:r>
        <w:t xml:space="preserve"> </w:t>
      </w:r>
      <w:r>
        <w:rPr>
          <w:i/>
          <w:iCs/>
        </w:rPr>
        <w:t xml:space="preserve">ggplot</w:t>
      </w:r>
      <w:r>
        <w:t xml:space="preserve"> </w:t>
      </w:r>
      <w:r>
        <w:t xml:space="preserve">(</w:t>
      </w:r>
      <w:r>
        <w:rPr>
          <w:b/>
          <w:bCs/>
        </w:rPr>
        <w:t xml:space="preserve">wickham2016?</w:t>
      </w:r>
      <w:r>
        <w:t xml:space="preserve">)</w:t>
      </w:r>
      <w:r>
        <w:t xml:space="preserve">.</w:t>
      </w:r>
    </w:p>
    <w:bookmarkEnd w:id="31"/>
    <w:bookmarkEnd w:id="32"/>
    <w:bookmarkStart w:id="36" w:name="results"/>
    <w:p>
      <w:pPr>
        <w:pStyle w:val="Heading1"/>
      </w:pPr>
      <w:r>
        <w:t xml:space="preserve">Results</w:t>
      </w:r>
    </w:p>
    <w:bookmarkStart w:id="33" w:name="X2adf980c3cdf557e751ed69a8410e917bd83bb9"/>
    <w:p>
      <w:pPr>
        <w:pStyle w:val="Heading3"/>
      </w:pPr>
      <w:r>
        <w:t xml:space="preserve">Effect of clutch order on egg size and number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33"/>
    <w:bookmarkStart w:id="34" w:name="X8f40dbed1f2515dba178cdbe2247c63c8a0b998"/>
    <w:p>
      <w:pPr>
        <w:pStyle w:val="Heading3"/>
      </w:pPr>
      <w:r>
        <w:t xml:space="preserve">Multilevel correlations between egg number and egg size</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suggesting no clear phenotypic association when hierarchical structure was ignored. In contrast, the between-female Pearson correlation calculated from female means was moderate and negative (</w:t>
      </w:r>
      <m:oMath>
        <m:sSub>
          <m:e>
            <m:r>
              <m:t>r</m:t>
            </m:r>
          </m:e>
          <m:sub>
            <m:r>
              <m:t>b</m:t>
            </m:r>
            <m:r>
              <m:t>e</m:t>
            </m:r>
            <m:r>
              <m:t>t</m:t>
            </m:r>
            <m:r>
              <m:t>w</m:t>
            </m:r>
            <m:r>
              <m:t>e</m:t>
            </m:r>
            <m:r>
              <m:t>e</m:t>
            </m:r>
            <m:r>
              <m:t>n</m:t>
            </m:r>
          </m:sub>
        </m:sSub>
      </m:oMath>
      <w:r>
        <w:t xml:space="preserve"> </w:t>
      </w:r>
      <w:r>
        <w:t xml:space="preserve">= -0.31, 95% CI [-0.55, -0.02]).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w:t>
      </w:r>
      <m:oMath>
        <m:sSub>
          <m:e>
            <m:r>
              <m:t>r</m:t>
            </m:r>
          </m:e>
          <m:sub>
            <m:r>
              <m:t>w</m:t>
            </m:r>
            <m:r>
              <m:t>i</m:t>
            </m:r>
            <m:r>
              <m:t>t</m:t>
            </m:r>
            <m:r>
              <m:t>h</m:t>
            </m:r>
            <m:r>
              <m:t>i</m:t>
            </m:r>
            <m:r>
              <m:t>n</m:t>
            </m:r>
          </m:sub>
        </m:sSub>
      </m:oMath>
      <w:r>
        <w:t xml:space="preserve"> </w:t>
      </w:r>
      <w:r>
        <w:t xml:space="preserve">= 0.0025, 95% CI [-0.86, 0.85]). Thus, apparent phenotypic independence masked a moderate negative association among females but no detectable clutch-level trade-off within females.</w:t>
      </w:r>
    </w:p>
    <w:bookmarkEnd w:id="34"/>
    <w:bookmarkStart w:id="35" w:name="withinbetween-mixed-effects-models"/>
    <w:p>
      <w:pPr>
        <w:pStyle w:val="Heading3"/>
      </w:pPr>
      <w:r>
        <w:t xml:space="preserve">Within–between mixed-effects models</w:t>
      </w:r>
    </w:p>
    <w:p>
      <w:pPr>
        <w:pStyle w:val="FirstParagraph"/>
      </w:pPr>
      <w:r>
        <w:t xml:space="preserve">In the within–between mixed-effects model, egg size varied among females (random-intercept SD = 0.07, 95% CrI [0.00, 0.15]). The within-female effect of egg number on egg size was small and uncertain (</w:t>
      </w:r>
      <m:oMath>
        <m:sSub>
          <m:e>
            <m:r>
              <m:t>β</m:t>
            </m:r>
          </m:e>
          <m:sub>
            <m:r>
              <m:t>W</m:t>
            </m:r>
          </m:sub>
        </m:sSub>
      </m:oMath>
      <w:r>
        <w:t xml:space="preserve"> </w:t>
      </w:r>
      <w:r>
        <w:t xml:space="preserve">= 0.0028, 95% CrI [-0.0005, 0.0061]). On the natural scale, this corresponds to an increase of approximately 0.027 units in egg size for every additional 10 eggs within a female — an effect that was not credibly different from zero. In contrast, the between-female effect was negative (</w:t>
      </w:r>
      <m:oMath>
        <m:sSub>
          <m:e>
            <m:r>
              <m:t>β</m:t>
            </m:r>
          </m:e>
          <m:sub>
            <m:r>
              <m:t>B</m:t>
            </m:r>
          </m:sub>
        </m:sSub>
      </m:oMath>
      <w:r>
        <w:t xml:space="preserve"> </w:t>
      </w:r>
      <w:r>
        <w:t xml:space="preserve">= -0.0039, 95% CrI [-0.0076, -0.0001]). Females differing by 10 eggs in mean clutch size differed by approximately 0.038 units in egg size. Although the credible interval extended to zero, the posterior distribution was predominantly negative, consistent with a modest among-female trade-off.</w:t>
      </w:r>
    </w:p>
    <w:p>
      <w:pPr>
        <w:pStyle w:val="BodyText"/>
      </w:pPr>
      <w:r>
        <w:t xml:space="preserve">Standardized coefficients reinforced the difference in magnitude between hierarchical levels. The standardized within-female effect was positive but uncertain (</w:t>
      </w:r>
      <m:oMath>
        <m:sSub>
          <m:e>
            <m:r>
              <m:t>β</m:t>
            </m:r>
          </m:e>
          <m:sub>
            <m:r>
              <m:t>W</m:t>
            </m:r>
            <m:r>
              <m:t>s</m:t>
            </m:r>
            <m:r>
              <m:t>t</m:t>
            </m:r>
            <m:r>
              <m:t>a</m:t>
            </m:r>
            <m:r>
              <m:t>n</m:t>
            </m:r>
            <m:r>
              <m:t>d</m:t>
            </m:r>
            <m:r>
              <m:t>a</m:t>
            </m:r>
            <m:r>
              <m:t>r</m:t>
            </m:r>
            <m:r>
              <m:t>d</m:t>
            </m:r>
            <m:r>
              <m:t>i</m:t>
            </m:r>
            <m:r>
              <m:t>z</m:t>
            </m:r>
            <m:r>
              <m:t>e</m:t>
            </m:r>
            <m:r>
              <m:t>d</m:t>
            </m:r>
          </m:sub>
        </m:sSub>
      </m:oMath>
      <w:r>
        <w:t xml:space="preserve"> </w:t>
      </w:r>
      <w:r>
        <w:t xml:space="preserve">= 0.17, 95% CrI [-0.03, 0.38]), whereas the standardized between-female effect was negative and its credible interval did not overlap zero (</w:t>
      </w:r>
      <m:oMath>
        <m:sSub>
          <m:e>
            <m:r>
              <m:t>β</m:t>
            </m:r>
          </m:e>
          <m:sub>
            <m:r>
              <m:t>B</m:t>
            </m:r>
            <m:r>
              <m:t>s</m:t>
            </m:r>
            <m:r>
              <m:t>t</m:t>
            </m:r>
            <m:r>
              <m:t>a</m:t>
            </m:r>
            <m:r>
              <m:t>n</m:t>
            </m:r>
            <m:r>
              <m:t>d</m:t>
            </m:r>
            <m:r>
              <m:t>a</m:t>
            </m:r>
            <m:r>
              <m:t>r</m:t>
            </m:r>
            <m:r>
              <m:t>d</m:t>
            </m:r>
            <m:r>
              <m:t>i</m:t>
            </m:r>
            <m:r>
              <m:t>z</m:t>
            </m:r>
            <m:r>
              <m:t>e</m:t>
            </m:r>
            <m:r>
              <m:t>d</m:t>
            </m:r>
          </m:sub>
        </m:sSub>
      </m:oMath>
      <w:r>
        <w:t xml:space="preserve"> </w:t>
      </w:r>
      <w:r>
        <w:t xml:space="preserve">= -0.23, 95% CrI [-0.455, -0.006]). Thus, the negative association was stronger and more consistent among females than within females.</w:t>
      </w:r>
    </w:p>
    <w:p>
      <w:pPr>
        <w:pStyle w:val="BodyText"/>
      </w:pPr>
      <w:r>
        <w:t xml:space="preserve">Allowing within-female slopes to vary among females produced similar fixed-effect estimates (</w:t>
      </w:r>
      <m:oMath>
        <m:sSub>
          <m:e>
            <m:r>
              <m:t>β</m:t>
            </m:r>
          </m:e>
          <m:sub>
            <m:r>
              <m:t>W</m:t>
            </m:r>
          </m:sub>
        </m:sSub>
      </m:oMath>
      <w:r>
        <w:t xml:space="preserve"> </w:t>
      </w:r>
      <w:r>
        <w:t xml:space="preserve">= 0.0034, 95% CrI [-0.0004, 0.0076];</w:t>
      </w:r>
      <w:r>
        <w:t xml:space="preserve"> </w:t>
      </w:r>
      <m:oMath>
        <m:sSub>
          <m:e>
            <m:r>
              <m:t>β</m:t>
            </m:r>
          </m:e>
          <m:sub>
            <m:r>
              <m:t>B</m:t>
            </m:r>
          </m:sub>
        </m:sSub>
      </m:oMath>
      <w:r>
        <w:t xml:space="preserve"> </w:t>
      </w:r>
      <w:r>
        <w:t xml:space="preserve">= -0.0041, 95% CrI [-0.0082, -0.0002]). Variation in within-female slopes was small (SD = 0.0046, 95% CrI [0.0003, 0.0110]), and the intercept–slope correlation was highly uncertain (</w:t>
      </w:r>
      <w:r>
        <w:rPr>
          <w:i/>
          <w:iCs/>
        </w:rPr>
        <w:t xml:space="preserve">r</w:t>
      </w:r>
      <w:r>
        <w:t xml:space="preserve"> </w:t>
      </w:r>
      <w:r>
        <w:t xml:space="preserve">= 0.20, 95% CrI [-0.67, 0.85]), indicating no strong evidence that females differed substantially in plastic allocation patterns.</w:t>
      </w:r>
    </w:p>
    <w:p>
      <w:pPr>
        <w:pStyle w:val="BodyText"/>
      </w:pPr>
      <w:r>
        <w:t xml:space="preserve">Because both egg number and egg size declined across clutches, clutch order was included as an additional fixed effect to test whether it explained the weak positive within-female slope. When clutch order was accounted for, the within-female effect collapsed to zero (</w:t>
      </w:r>
      <m:oMath>
        <m:sSub>
          <m:e>
            <m:r>
              <m:t>β</m:t>
            </m:r>
          </m:e>
          <m:sub>
            <m:r>
              <m:t>W</m:t>
            </m:r>
          </m:sub>
        </m:sSub>
      </m:oMath>
      <w:r>
        <w:t xml:space="preserve"> </w:t>
      </w:r>
      <w:r>
        <w:t xml:space="preserve">= -0.0004, 95% CrI [-0.0045, 0.0035]). Thus, there was no evidence that females plastically traded egg number against egg size within clutches; the apparent association in the initial model was entirely explained by parallel declines from clutch one to clutch two.</w:t>
      </w:r>
    </w:p>
    <w:bookmarkEnd w:id="35"/>
    <w:bookmarkEnd w:id="36"/>
    <w:bookmarkStart w:id="37" w:name="discussion"/>
    <w:p>
      <w:pPr>
        <w:pStyle w:val="Heading1"/>
      </w:pPr>
      <w:r>
        <w:t xml:space="preserve">Discussion</w:t>
      </w:r>
    </w:p>
    <w:p>
      <w:pPr>
        <w:pStyle w:val="FirstParagraph"/>
      </w:pPr>
      <w:r>
        <w:t xml:space="preserve">Summary</w:t>
      </w:r>
      <w:r>
        <w:t xml:space="preserve"> </w:t>
      </w:r>
      <w:r>
        <w:t xml:space="preserve">Overall, egg size and egg number declined substantially between clutches. Persistent differences among females generated a moderate negative association between mean egg size and number, whereas there was no evidence for a consistent within-female trade-off once clutch order was accounted for. These results indicate that apparent number–size trade-offs arise primarily from stable among-female differences rather than dynamic allocation decisions within females.</w:t>
      </w:r>
    </w:p>
    <w:p>
      <w:pPr>
        <w:pStyle w:val="BodyText"/>
      </w:pPr>
      <w:r>
        <w:t xml:space="preserve">My multivariate repeated-measures analysis of clutch and egg size found no evidence that female European earwigs trade off egg number and egg size. Despite failing to support general life history theory</w:t>
      </w:r>
      <w:r>
        <w:t xml:space="preserve"> </w:t>
      </w:r>
      <w:r>
        <w:t xml:space="preserve">(Roff 1992; Stearns 1992)</w:t>
      </w:r>
      <w:r>
        <w:t xml:space="preserve"> </w:t>
      </w:r>
      <w:r>
        <w:t xml:space="preserve">and contradicting the results of a previous study in this species</w:t>
      </w:r>
      <w:r>
        <w:t xml:space="preserve"> </w:t>
      </w:r>
      <w:r>
        <w:t xml:space="preserve">(Koch and Meunier 2014)</w:t>
      </w:r>
      <w:r>
        <w:t xml:space="preserve">, it is the first, to my knowledge, to partition the phenotypic correlation between egg number and size into its among- and within-individual components. Although many studies have supported the prediction that egg number and size trade off, some have not</w:t>
      </w:r>
      <w:r>
        <w:t xml:space="preserve"> </w:t>
      </w:r>
      <w:r>
        <w:t xml:space="preserve">(Roff 1992; Fox and Czesak 2000)</w:t>
      </w:r>
      <w:r>
        <w:t xml:space="preserve">.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w:t>
      </w:r>
      <w:r>
        <w:t xml:space="preserve"> </w:t>
      </w:r>
      <w:r>
        <w:t xml:space="preserve">(2014)</w:t>
      </w:r>
      <w:r>
        <w:t xml:space="preserve"> </w:t>
      </w:r>
      <w:r>
        <w:t xml:space="preserve">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(Simpson 1951)</w:t>
      </w:r>
      <w:r>
        <w:t xml:space="preserve"> </w:t>
      </w:r>
      <w:r>
        <w:t xml:space="preserve">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w:t>
      </w:r>
      <w:r>
        <w:t xml:space="preserve"> </w:t>
      </w:r>
      <w:r>
        <w:t xml:space="preserve">(Tourneur and Gingras 1992)</w:t>
      </w:r>
      <w:r>
        <w:t xml:space="preserve"> </w:t>
      </w:r>
      <w:r>
        <w:t xml:space="preserve">and with one involving an Italian population</w:t>
      </w:r>
      <w:r>
        <w:t xml:space="preserve"> </w:t>
      </w:r>
      <w:r>
        <w:t xml:space="preserve">(Koch and Meunier 2014)</w:t>
      </w:r>
      <w:r>
        <w:t xml:space="preserve">. Tourneur and Gingras</w:t>
      </w:r>
      <w:r>
        <w:t xml:space="preserve"> </w:t>
      </w:r>
      <w:r>
        <w:t xml:space="preserve">(1992)</w:t>
      </w:r>
      <w:r>
        <w:t xml:space="preserve"> </w:t>
      </w:r>
      <w:r>
        <w:t xml:space="preserve">proximally 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w:t>
      </w:r>
      <w:r>
        <w:t xml:space="preserve"> </w:t>
      </w:r>
      <w:r>
        <w:t xml:space="preserve">(e.g. birds: Williams 1994; amphibians: Ficetola and De Bernardi 2009; reptiles: Nelson et al. 2004; fish: Einum and Fleming 2000)</w:t>
      </w:r>
      <w:r>
        <w:t xml:space="preserve">. Although this does not appear to be the typical case in insects</w:t>
      </w:r>
      <w:r>
        <w:t xml:space="preserve"> </w:t>
      </w:r>
      <w:r>
        <w:t xml:space="preserve">(Church et al. 2019)</w:t>
      </w:r>
      <w:r>
        <w:t xml:space="preserve">, larger eggs are more likely to hatch and to produce larger nymphs in</w:t>
      </w:r>
      <w:r>
        <w:t xml:space="preserve"> </w:t>
      </w:r>
      <w:r>
        <w:rPr>
          <w:i/>
          <w:iCs/>
        </w:rPr>
        <w:t xml:space="preserve">F. auricularia</w:t>
      </w:r>
      <w:r>
        <w:t xml:space="preserve"> </w:t>
      </w:r>
      <w:r>
        <w:t xml:space="preserve">(Koch and Meunier 2014)</w:t>
      </w:r>
      <w:r>
        <w:t xml:space="preserve">, so egg size appears to ultimately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extenuating factors. First, maternal care in this species likely improves the survival chances of smaller eggs</w:t>
      </w:r>
      <w:r>
        <w:t xml:space="preserve"> </w:t>
      </w:r>
      <w:r>
        <w:t xml:space="preserve">(Kölliker 2007; e.g., Boos et al. 2014)</w:t>
      </w:r>
      <w:r>
        <w:t xml:space="preserve">, and the poor outcomes commonly associated with smaller nymphs might be mitigated by maternal provisioning</w:t>
      </w:r>
      <w:r>
        <w:t xml:space="preserve"> </w:t>
      </w:r>
      <w:r>
        <w:t xml:space="preserve">(Staerkle and Kölliker 2008)</w:t>
      </w:r>
      <w:r>
        <w:t xml:space="preserve">. Second, smaller eggs tend to hatch faster as development time is positively related to egg size across animal species</w:t>
      </w:r>
      <w:r>
        <w:t xml:space="preserve"> </w:t>
      </w:r>
      <w:r>
        <w:t xml:space="preserve">(Shine 1978)</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w:t>
      </w:r>
      <w:r>
        <w:t xml:space="preserve"> </w:t>
      </w:r>
      <w:r>
        <w:rPr>
          <w:i/>
          <w:iCs/>
        </w:rPr>
        <w:t xml:space="preserve">F. auricularia</w:t>
      </w:r>
      <w:r>
        <w:t xml:space="preserve"> </w:t>
      </w:r>
      <w:r>
        <w:t xml:space="preserve">(Koch and Meunier 2014)</w:t>
      </w:r>
      <w:r>
        <w:t xml:space="preserve">.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w:t>
      </w:r>
      <w:r>
        <w:t xml:space="preserve"> </w:t>
      </w:r>
      <w:r>
        <w:t xml:space="preserve">(see Careau and Wilson 2017)</w:t>
      </w:r>
      <w:r>
        <w:t xml:space="preserve">. In other words, some female earwigs in my study population might prioritise investment in egg number versus egg size and vice versa. Taken together, my results resemble Careau and Wilson’s</w:t>
      </w:r>
      <w:r>
        <w:t xml:space="preserve"> </w:t>
      </w:r>
      <w:r>
        <w:t xml:space="preserve">(2017)</w:t>
      </w:r>
      <w:r>
        <w:t xml:space="preserve"> </w:t>
      </w:r>
      <w:r>
        <w:t xml:space="preserve">“sink or swim”</w:t>
      </w:r>
      <w:r>
        <w:t xml:space="preserve"> </w:t>
      </w:r>
      <w:r>
        <w:t xml:space="preserve">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Falconer and MacKay 1996)</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(Yanagi et al. 2006)</w:t>
      </w:r>
      <w:r>
        <w:t xml:space="preserve">,</w:t>
      </w:r>
      <w:r>
        <w:t xml:space="preserve"> </w:t>
      </w:r>
      <w:r>
        <w:rPr>
          <w:i/>
          <w:iCs/>
        </w:rPr>
        <w:t xml:space="preserve">Parnara guttata guttata</w:t>
      </w:r>
      <w:r>
        <w:t xml:space="preserve"> </w:t>
      </w:r>
      <w:r>
        <w:t xml:space="preserve">butterflies</w:t>
      </w:r>
      <w:r>
        <w:t xml:space="preserve"> </w:t>
      </w:r>
      <w:r>
        <w:t xml:space="preserve">(Seko et al. 2006)</w:t>
      </w:r>
      <w:r>
        <w:t xml:space="preserve">,</w:t>
      </w:r>
      <w:r>
        <w:t xml:space="preserve"> </w:t>
      </w:r>
      <w:r>
        <w:rPr>
          <w:i/>
          <w:iCs/>
        </w:rPr>
        <w:t xml:space="preserve">Lobesia botrana</w:t>
      </w:r>
      <w:r>
        <w:t xml:space="preserve"> </w:t>
      </w:r>
      <w:r>
        <w:t xml:space="preserve">moths</w:t>
      </w:r>
      <w:r>
        <w:t xml:space="preserve"> </w:t>
      </w:r>
      <w:r>
        <w:t xml:space="preserve">(Torres-Vila et al. 2012)</w:t>
      </w:r>
      <w:r>
        <w:t xml:space="preserve">, and spruce budworm (</w:t>
      </w:r>
      <w:r>
        <w:rPr>
          <w:i/>
          <w:iCs/>
        </w:rPr>
        <w:t xml:space="preserve">Choristoneura fumiferana</w:t>
      </w:r>
      <w:r>
        <w:t xml:space="preserve">)</w:t>
      </w:r>
      <w:r>
        <w:t xml:space="preserve"> </w:t>
      </w:r>
      <w:r>
        <w:t xml:space="preserve">(Harvey 1983)</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Yosef and Zduniak 2008)</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(Yosef and Zduniak 2008)</w:t>
      </w:r>
      <w:r>
        <w:t xml:space="preserve">, collared flycatchers (</w:t>
      </w:r>
      <w:r>
        <w:rPr>
          <w:i/>
          <w:iCs/>
        </w:rPr>
        <w:t xml:space="preserve">Ficedula albicollis</w:t>
      </w:r>
      <w:r>
        <w:t xml:space="preserve">) produced larger eggs with the laying sequence in favourable conditions</w:t>
      </w:r>
      <w:r>
        <w:t xml:space="preserve"> </w:t>
      </w:r>
      <w:r>
        <w:t xml:space="preserve">(Hargitai et al. 2005)</w:t>
      </w:r>
      <w:r>
        <w:t xml:space="preserve">, and blue tits (</w:t>
      </w:r>
      <w:r>
        <w:rPr>
          <w:i/>
          <w:iCs/>
        </w:rPr>
        <w:t xml:space="preserve">Paris caeruleus</w:t>
      </w:r>
      <w:r>
        <w:t xml:space="preserve">) in better nutritional condition had clutches with less variation in egg size</w:t>
      </w:r>
      <w:r>
        <w:t xml:space="preserve"> </w:t>
      </w:r>
      <w:r>
        <w:t xml:space="preserve">(Nilsson and Svensson 1993)</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(Slagsvold et al. 1984)</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bookmarkEnd w:id="37"/>
    <w:bookmarkStart w:id="38" w:name="data-availability"/>
    <w:p>
      <w:pPr>
        <w:pStyle w:val="Heading1"/>
      </w:pPr>
      <w:r>
        <w:t xml:space="preserve">Data availability</w:t>
      </w:r>
    </w:p>
    <w:p>
      <w:pPr>
        <w:pStyle w:val="FirstParagraph"/>
      </w:pPr>
      <w:r>
        <w:t xml:space="preserve">Data are available through the OSF repository at 10.17605/OSF.IO/KWCS8.</w:t>
      </w:r>
    </w:p>
    <w:bookmarkEnd w:id="38"/>
    <w:bookmarkStart w:id="39" w:name="author-contributions"/>
    <w:p>
      <w:pPr>
        <w:pStyle w:val="Heading1"/>
      </w:pPr>
      <w:r>
        <w:t xml:space="preserve">Author contributions</w:t>
      </w:r>
    </w:p>
    <w:p>
      <w:pPr>
        <w:pStyle w:val="FirstParagraph"/>
      </w:pPr>
      <w:r>
        <w:t xml:space="preserve">CDK collected and analyzed the data, and wrote the manuscript.</w:t>
      </w:r>
    </w:p>
    <w:bookmarkEnd w:id="39"/>
    <w:bookmarkStart w:id="40"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40"/>
    <w:bookmarkStart w:id="41" w:name="conflict-of-interest"/>
    <w:p>
      <w:pPr>
        <w:pStyle w:val="Heading1"/>
      </w:pPr>
      <w:r>
        <w:t xml:space="preserve">Conflict of Interest</w:t>
      </w:r>
    </w:p>
    <w:p>
      <w:pPr>
        <w:pStyle w:val="FirstParagraph"/>
      </w:pPr>
      <w:r>
        <w:t xml:space="preserve">I declare no conflict of interest.</w:t>
      </w:r>
    </w:p>
    <w:bookmarkEnd w:id="41"/>
    <w:bookmarkStart w:id="42"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42"/>
    <w:bookmarkStart w:id="95" w:name="references"/>
    <w:p>
      <w:pPr>
        <w:pStyle w:val="Heading1"/>
      </w:pPr>
      <w:r>
        <w:t xml:space="preserve">References</w:t>
      </w:r>
    </w:p>
    <w:bookmarkStart w:id="86" w:name="refs"/>
    <w:bookmarkStart w:id="43" w:name="ref-bernardo1996"/>
    <w:p>
      <w:pPr>
        <w:pStyle w:val="Bibliography"/>
      </w:pPr>
      <w:r>
        <w:t xml:space="preserve">Bernardo, J. 1996. The particular maternal effect of propagule size, especially egg size: Patterns, models, quality of evidence and interpretations. Am Zool 36:216–236.</w:t>
      </w:r>
    </w:p>
    <w:bookmarkEnd w:id="43"/>
    <w:bookmarkStart w:id="44" w:name="ref-boos2014"/>
    <w:p>
      <w:pPr>
        <w:pStyle w:val="Bibliography"/>
      </w:pPr>
      <w:r>
        <w:t xml:space="preserve">Boos, S., J. Meunier, S. Pichon, and M. Kölliker. 2014. Maternal care provides antifungal protection to eggs in the european earwig. Behav Ecol 25:754–761.</w:t>
      </w:r>
    </w:p>
    <w:bookmarkEnd w:id="44"/>
    <w:bookmarkStart w:id="45"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45"/>
    <w:bookmarkStart w:id="46" w:name="ref-careau2017"/>
    <w:p>
      <w:pPr>
        <w:pStyle w:val="Bibliography"/>
      </w:pPr>
      <w:r>
        <w:t xml:space="preserve">Careau, V., and R. Wilson. 2017. Of uberfleas and krakens: Detecting trade-offs using mixed models. Integr Comp Biol 57:362–371.</w:t>
      </w:r>
    </w:p>
    <w:bookmarkEnd w:id="46"/>
    <w:bookmarkStart w:id="47" w:name="ref-cavaleiro2014"/>
    <w:p>
      <w:pPr>
        <w:pStyle w:val="Bibliography"/>
      </w:pPr>
      <w:r>
        <w:t xml:space="preserve">Cavaleiro, F. I., and M. J. Santos. 2014. Egg number-egg size: An important trade-off in parasite life history strategies. Int J Parasitol 44:173–182.</w:t>
      </w:r>
    </w:p>
    <w:bookmarkEnd w:id="47"/>
    <w:bookmarkStart w:id="48" w:name="ref-church2019"/>
    <w:p>
      <w:pPr>
        <w:pStyle w:val="Bibliography"/>
      </w:pPr>
      <w:r>
        <w:t xml:space="preserve">Church, S. H., S. Donoughe, B. A. S. de Medeiros, and C. G. Extavour. 2019. Insect egg size and shape evolve with ecology but not developmental rate. Nature 571:58–62.</w:t>
      </w:r>
    </w:p>
    <w:bookmarkEnd w:id="48"/>
    <w:bookmarkStart w:id="49" w:name="ref-clutton-brock1984"/>
    <w:p>
      <w:pPr>
        <w:pStyle w:val="Bibliography"/>
      </w:pPr>
      <w:r>
        <w:t xml:space="preserve">Clutton-Brock, T. H. 1984. Reproductive effort and terminal investment in iteroparous animals. Am Nat 123:212–229.</w:t>
      </w:r>
    </w:p>
    <w:bookmarkEnd w:id="49"/>
    <w:bookmarkStart w:id="50" w:name="ref-clutton-brock1991"/>
    <w:p>
      <w:pPr>
        <w:pStyle w:val="Bibliography"/>
      </w:pPr>
      <w:r>
        <w:t xml:space="preserve">Clutton-Brock, T. H. 1991.</w:t>
      </w:r>
      <w:r>
        <w:t xml:space="preserve"> </w:t>
      </w:r>
      <w:r>
        <w:t xml:space="preserve">The Evolution of Parental Care</w:t>
      </w:r>
      <w:r>
        <w:t xml:space="preserve">. Princeton University Press.</w:t>
      </w:r>
    </w:p>
    <w:bookmarkEnd w:id="50"/>
    <w:bookmarkStart w:id="51" w:name="ref-einum2000"/>
    <w:p>
      <w:pPr>
        <w:pStyle w:val="Bibliography"/>
      </w:pPr>
      <w:r>
        <w:t xml:space="preserve">Einum, S., and I. A. Fleming. 2000. Highly fecund mothers sacrifice offspring survival to maximize fitness. Nature 405:565–567.</w:t>
      </w:r>
    </w:p>
    <w:bookmarkEnd w:id="51"/>
    <w:bookmarkStart w:id="52"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52"/>
    <w:bookmarkStart w:id="53" w:name="ref-ficetola2009"/>
    <w:p>
      <w:pPr>
        <w:pStyle w:val="Bibliography"/>
      </w:pPr>
      <w:r>
        <w:t xml:space="preserve">Ficetola, G. F., and F. De Bernardi. 2009. Offspring size and survival in the frog rana latastei: From among-population to within-clutch variation. Biol J Linn Soc 97:845–853.</w:t>
      </w:r>
    </w:p>
    <w:bookmarkEnd w:id="53"/>
    <w:bookmarkStart w:id="54" w:name="ref-fox2000"/>
    <w:p>
      <w:pPr>
        <w:pStyle w:val="Bibliography"/>
      </w:pPr>
      <w:r>
        <w:t xml:space="preserve">Fox, C. W., and M. E. Czesak. 2000. Evolutionary ecology of progeny size in arthropods. Annu Rev Entomol 45:341–369.</w:t>
      </w:r>
    </w:p>
    <w:bookmarkEnd w:id="54"/>
    <w:bookmarkStart w:id="55"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55"/>
    <w:bookmarkStart w:id="56" w:name="ref-harvey1983"/>
    <w:p>
      <w:pPr>
        <w:pStyle w:val="Bibliography"/>
      </w:pPr>
      <w:r>
        <w:t xml:space="preserve">Harvey, G. T. 1983. Environmental and genetic effects on mean egg weight in spruce budworm (lepidoptera: tortricidae). The Canadian Entomologist 115:1109–1117.</w:t>
      </w:r>
    </w:p>
    <w:bookmarkEnd w:id="56"/>
    <w:bookmarkStart w:id="57" w:name="ref-kelly2014"/>
    <w:p>
      <w:pPr>
        <w:pStyle w:val="Bibliography"/>
      </w:pPr>
      <w:r>
        <w:t xml:space="preserve">Kelly, C. D., B. Tawes, and A. Worthington. 2014. Evaluating indices of body condition in two cricket species. Ecology and Evolution 4:4476–4487.</w:t>
      </w:r>
    </w:p>
    <w:bookmarkEnd w:id="57"/>
    <w:bookmarkStart w:id="58" w:name="ref-koch2014"/>
    <w:p>
      <w:pPr>
        <w:pStyle w:val="Bibliography"/>
      </w:pPr>
      <w:r>
        <w:t xml:space="preserve">Koch, L. K., and J. Meunier. 2014. Mother and offspring fitness in an insect with maternal care: Phenotypic trade-offs between egg number, egg mass and egg care. BMC Evol Biol 14:125.</w:t>
      </w:r>
    </w:p>
    <w:bookmarkEnd w:id="58"/>
    <w:bookmarkStart w:id="59" w:name="ref-kolliker2007"/>
    <w:p>
      <w:pPr>
        <w:pStyle w:val="Bibliography"/>
      </w:pPr>
      <w:r>
        <w:t xml:space="preserve">Kölliker, M. 2007. Benefits and costs of earwig (forficula auricularia) family life. Behav Ecol Sociobiol 61:1489–1497.</w:t>
      </w:r>
    </w:p>
    <w:bookmarkEnd w:id="59"/>
    <w:bookmarkStart w:id="60" w:name="ref-meunier2024"/>
    <w:p>
      <w:pPr>
        <w:pStyle w:val="Bibliography"/>
      </w:pPr>
      <w:r>
        <w:t xml:space="preserve">Meunier, J. 2024. The biology and social life of earwigs (dermaptera). Annu Rev Entomol 69:259–276.</w:t>
      </w:r>
    </w:p>
    <w:bookmarkEnd w:id="60"/>
    <w:bookmarkStart w:id="61" w:name="ref-nelson2004"/>
    <w:p>
      <w:pPr>
        <w:pStyle w:val="Bibliography"/>
      </w:pPr>
      <w:r>
        <w:t xml:space="preserve">Nelson, N. J., M. B. Thompson, S. Pledger, S. N. Keall, and C. H. Daugherty. 2004. Egg mass determines hatchling size, and incubation temperature influences post‐hatching growth, of tuatara sphenodon punctatus. J Zool 263:77–87.</w:t>
      </w:r>
    </w:p>
    <w:bookmarkEnd w:id="61"/>
    <w:bookmarkStart w:id="62" w:name="ref-nilsson1993"/>
    <w:p>
      <w:pPr>
        <w:pStyle w:val="Bibliography"/>
      </w:pPr>
      <w:r>
        <w:t xml:space="preserve">Nilsson, J. ‐Å., and E. Svensson. 1993. Causes and consequences of egg mass variation between and within blue tit clutches. J Zool 230:469–481.</w:t>
      </w:r>
    </w:p>
    <w:bookmarkEnd w:id="62"/>
    <w:bookmarkStart w:id="63" w:name="ref-parker1982"/>
    <w:p>
      <w:pPr>
        <w:pStyle w:val="Bibliography"/>
      </w:pPr>
      <w:r>
        <w:t xml:space="preserve">Parker, G. A. 1982. Why are there so many tiny sperm? Sperm competition and the maintenance of two sexes. J Theor Biol 96:281–294.</w:t>
      </w:r>
    </w:p>
    <w:bookmarkEnd w:id="63"/>
    <w:bookmarkStart w:id="64" w:name="ref-peig2009"/>
    <w:p>
      <w:pPr>
        <w:pStyle w:val="Bibliography"/>
      </w:pPr>
      <w:r>
        <w:t xml:space="preserve">Peig, J., and A. J. Green. 2009. New perspectives for estimating body condition from mass/length data: The scaled mass index as an alternative method. Oikos 118:1883–1891.</w:t>
      </w:r>
    </w:p>
    <w:bookmarkEnd w:id="64"/>
    <w:bookmarkStart w:id="65" w:name="ref-peig2010"/>
    <w:p>
      <w:pPr>
        <w:pStyle w:val="Bibliography"/>
      </w:pPr>
      <w:r>
        <w:t xml:space="preserve">Peig, J., and A. J. Green. 2010. The paradigm of body condition: A critical reappraisal of current methods based on mass and length. Funct Ecol 24:1323–1332.</w:t>
      </w:r>
    </w:p>
    <w:bookmarkEnd w:id="65"/>
    <w:bookmarkStart w:id="66"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66"/>
    <w:bookmarkStart w:id="67" w:name="ref-reznick2000"/>
    <w:p>
      <w:pPr>
        <w:pStyle w:val="Bibliography"/>
      </w:pPr>
      <w:r>
        <w:t xml:space="preserve">Reznick, D., L. Nunney, and A. Tessier. 2000. Big houses, big cars, superfleas and the costs of reproduction. Trends Ecol Evol 15:421–425.</w:t>
      </w:r>
    </w:p>
    <w:bookmarkEnd w:id="67"/>
    <w:bookmarkStart w:id="68"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68"/>
    <w:bookmarkStart w:id="69"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69"/>
    <w:bookmarkStart w:id="70"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70"/>
    <w:bookmarkStart w:id="71" w:name="ref-shine1978"/>
    <w:p>
      <w:pPr>
        <w:pStyle w:val="Bibliography"/>
      </w:pPr>
      <w:r>
        <w:t xml:space="preserve">Shine, R. 1978. Propagule size and parental care: The</w:t>
      </w:r>
      <w:r>
        <w:t xml:space="preserve"> </w:t>
      </w:r>
      <w:r>
        <w:t xml:space="preserve">“safe harbor”</w:t>
      </w:r>
      <w:r>
        <w:t xml:space="preserve"> </w:t>
      </w:r>
      <w:r>
        <w:t xml:space="preserve">hypothesis. J Theor Biol 75:417–424.</w:t>
      </w:r>
    </w:p>
    <w:bookmarkEnd w:id="71"/>
    <w:bookmarkStart w:id="72" w:name="ref-simpson1951"/>
    <w:p>
      <w:pPr>
        <w:pStyle w:val="Bibliography"/>
      </w:pPr>
      <w:r>
        <w:t xml:space="preserve">Simpson, E. H. 1951. The interpretation of interaction in contingency tables. Journal of the Royal Statistical Society: Series B (Methodological) 13:238–241.</w:t>
      </w:r>
    </w:p>
    <w:bookmarkEnd w:id="72"/>
    <w:bookmarkStart w:id="73" w:name="ref-slagsvold1984"/>
    <w:p>
      <w:pPr>
        <w:pStyle w:val="Bibliography"/>
      </w:pPr>
      <w:r>
        <w:t xml:space="preserve">Slagsvold, T., J. Sandvik, G. Rofstad, Ö. Lorentsen, and M. Husby. 1984. On the adaptive value of intraclutch egg-size variation in birds. The Auk 101:685–697.</w:t>
      </w:r>
    </w:p>
    <w:bookmarkEnd w:id="73"/>
    <w:bookmarkStart w:id="74" w:name="ref-smith1974"/>
    <w:p>
      <w:pPr>
        <w:pStyle w:val="Bibliography"/>
      </w:pPr>
      <w:r>
        <w:t xml:space="preserve">Smith, C. C., and S. D. Fretwell. 1974. The optimal balance between size and number of offspring. Am Nat 108:499–506.</w:t>
      </w:r>
    </w:p>
    <w:bookmarkEnd w:id="74"/>
    <w:bookmarkStart w:id="75"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75"/>
    <w:bookmarkStart w:id="76" w:name="ref-stearns1992"/>
    <w:p>
      <w:pPr>
        <w:pStyle w:val="Bibliography"/>
      </w:pPr>
      <w:r>
        <w:t xml:space="preserve">Stearns, S. C. 1992.</w:t>
      </w:r>
      <w:r>
        <w:t xml:space="preserve"> </w:t>
      </w:r>
      <w:r>
        <w:t xml:space="preserve">The Evolution of Life Histories</w:t>
      </w:r>
      <w:r>
        <w:t xml:space="preserve">. Oxford University Press.</w:t>
      </w:r>
    </w:p>
    <w:bookmarkEnd w:id="76"/>
    <w:bookmarkStart w:id="77"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77"/>
    <w:bookmarkStart w:id="78"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78"/>
    <w:bookmarkStart w:id="79"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79"/>
    <w:bookmarkStart w:id="80"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80"/>
    <w:bookmarkStart w:id="81" w:name="ref-vannoordwijk1986"/>
    <w:p>
      <w:pPr>
        <w:pStyle w:val="Bibliography"/>
      </w:pPr>
      <w:r>
        <w:t xml:space="preserve">Van Noordwijk, A. J., and G. de Jong. 1986. Acquisition and allocation of resources: Their influence on variation in life history tactics. Am Nat 128:137–142.</w:t>
      </w:r>
    </w:p>
    <w:bookmarkEnd w:id="81"/>
    <w:bookmarkStart w:id="82" w:name="ref-williams1994"/>
    <w:p>
      <w:pPr>
        <w:pStyle w:val="Bibliography"/>
      </w:pPr>
      <w:r>
        <w:t xml:space="preserve">Williams, T. D. 1994. Intraspecific variation in egg size and egg composition in birds: Effects on offspring fitness. Biol Rev Camb Philos Soc 69:35–59.</w:t>
      </w:r>
    </w:p>
    <w:bookmarkEnd w:id="82"/>
    <w:bookmarkStart w:id="83" w:name="ref-winkler1987"/>
    <w:p>
      <w:pPr>
        <w:pStyle w:val="Bibliography"/>
      </w:pPr>
      <w:r>
        <w:t xml:space="preserve">Winkler, D. W., and K. Wallin. 1987. Offspring size and number: A life history model linking effort per offspring and total effort. Am Nat 129:708–720.</w:t>
      </w:r>
    </w:p>
    <w:bookmarkEnd w:id="83"/>
    <w:bookmarkStart w:id="84"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84"/>
    <w:bookmarkStart w:id="85" w:name="ref-yosef2008"/>
    <w:p>
      <w:pPr>
        <w:pStyle w:val="Bibliography"/>
      </w:pPr>
      <w:r>
        <w:t xml:space="preserve">Yosef, R., and P. Zduniak. 2008. Variation in clutch size, egg size variability and reproductive output in the desert finch (rhodospiza obsoleta). J Arid Environ 72:1631–1635.</w:t>
      </w:r>
    </w:p>
    <w:bookmarkEnd w:id="85"/>
    <w:bookmarkEnd w:id="86"/>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0" w:name="fig-one"/>
          <w:p>
            <w:pPr>
              <w:pStyle w:val="Compact"/>
              <w:jc w:val="center"/>
            </w:pPr>
            <w:r>
              <w:drawing>
                <wp:inline>
                  <wp:extent cx="3810000" cy="2540000"/>
                  <wp:effectExtent b="0" l="0" r="0" t="0"/>
                  <wp:docPr descr="" title="" id="88" name="Picture"/>
                  <a:graphic>
                    <a:graphicData uri="http://schemas.openxmlformats.org/drawingml/2006/picture">
                      <pic:pic>
                        <pic:nvPicPr>
                          <pic:cNvPr descr="Figure_1.jpg" id="89" name="Picture"/>
                          <pic:cNvPicPr>
                            <a:picLocks noChangeArrowheads="1" noChangeAspect="1"/>
                          </pic:cNvPicPr>
                        </pic:nvPicPr>
                        <pic:blipFill>
                          <a:blip r:embed="rId8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Relationship between mean egg number per female and mean egg size per female. Each point represents a single female (averaged across clutches). The solid black line shows the posterior mean regression from the within–between mixed-effects model,</w:t>
            </w:r>
            <w:r>
              <w:t xml:space="preserve"> </w:t>
            </w:r>
            <w:r>
              <w:t xml:space="preserve">and the shaded ribbon represents the 95% credible interval of the fitted relationship. The slope reflects the between-female effect (</w:t>
            </w:r>
            <m:oMath>
              <m:sSub>
                <m:e>
                  <m:r>
                    <m:t>β</m:t>
                  </m:r>
                </m:e>
                <m:sub>
                  <m:r>
                    <m:t>B</m:t>
                  </m:r>
                </m:sub>
              </m:sSub>
            </m:oMath>
            <w:r>
              <w:t xml:space="preserve"> </w:t>
            </w:r>
            <w:r>
              <w:t xml:space="preserve">= -0.0039, 95% CrI [-0.0076, -0.0001]), indicating whether females that produce more eggs on average lay larger or smaller eggs. This relationship corresponds to the Pearson correlation calculated among female means (</w:t>
            </w:r>
            <m:oMath>
              <m:sSub>
                <m:e>
                  <m:r>
                    <m:t>r</m:t>
                  </m:r>
                </m:e>
                <m:sub>
                  <m:r>
                    <m:t>b</m:t>
                  </m:r>
                  <m:r>
                    <m:t>e</m:t>
                  </m:r>
                  <m:r>
                    <m:t>t</m:t>
                  </m:r>
                  <m:r>
                    <m:t>w</m:t>
                  </m:r>
                  <m:r>
                    <m:t>e</m:t>
                  </m:r>
                  <m:r>
                    <m:t>e</m:t>
                  </m:r>
                  <m:r>
                    <m:t>n</m:t>
                  </m:r>
                </m:sub>
              </m:sSub>
            </m:oMath>
            <w:r>
              <w:t xml:space="preserve"> </w:t>
            </w:r>
            <w:r>
              <w:t xml:space="preserve">= -0.31, 95% CI [-0.55, -0.02]).</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two"/>
          <w:p>
            <w:pPr>
              <w:pStyle w:val="Compact"/>
              <w:jc w:val="center"/>
            </w:pPr>
            <w:r>
              <w:drawing>
                <wp:inline>
                  <wp:extent cx="3810000" cy="2540000"/>
                  <wp:effectExtent b="0" l="0" r="0" t="0"/>
                  <wp:docPr descr="" title="" id="92" name="Picture"/>
                  <a:graphic>
                    <a:graphicData uri="http://schemas.openxmlformats.org/drawingml/2006/picture">
                      <pic:pic>
                        <pic:nvPicPr>
                          <pic:cNvPr descr="Figure_2.jpg" id="93" name="Picture"/>
                          <pic:cNvPicPr>
                            <a:picLocks noChangeArrowheads="1" noChangeAspect="1"/>
                          </pic:cNvPicPr>
                        </pic:nvPicPr>
                        <pic:blipFill>
                          <a:blip r:embed="rId9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egg size plotted against within-female deviation in egg number (clutch size minus each female’s mean). Points represent individual broods, and thin gray lines connect successive broods from the same female. The solid black line shows the posterior mean population-level effect of within-female egg-number deviation estimated from the mixed-effects model. The shaded ribbon represents the 95% credible interval of the posterior expected value (random effects excluded). Positive values on the x-axis indicate broods in which a female laid more eggs than her average, whereas negative values indicate broods with fewer eggs than her average. Note that second clutches (blue points) tend to negatively deviate from zero whereas first clutches (salmon points) tend to positively deviate from zero.The slope of the population-level line reflects the estimated within-female plastic response of egg size to changes in egg number 0.]</w:t>
            </w:r>
          </w:p>
          <w:bookmarkEnd w:id="94"/>
        </w:tc>
      </w:tr>
    </w:tbl>
    <w:bookmarkEnd w:id="95"/>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2026-02-18T14:24:35Z</dcterms:created>
  <dcterms:modified xsi:type="dcterms:W3CDTF">2026-02-18T14:24:35Z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