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95621" w14:textId="77777777" w:rsidR="00772076" w:rsidRDefault="00F103E3">
      <w:pPr>
        <w:pStyle w:val="Title"/>
      </w:pPr>
      <w:r>
        <w:t>Residual correlation shows that European earwigs do not trade off clutch and egg size.</w:t>
      </w:r>
    </w:p>
    <w:p w14:paraId="3F7A0110" w14:textId="77777777" w:rsidR="00772076" w:rsidRPr="00761472" w:rsidRDefault="00F103E3">
      <w:pPr>
        <w:pStyle w:val="Author"/>
        <w:rPr>
          <w:lang w:val="fr-CA"/>
        </w:rPr>
      </w:pPr>
      <w:r w:rsidRPr="00761472">
        <w:rPr>
          <w:lang w:val="fr-CA"/>
        </w:rPr>
        <w:t>Clint D. Kelly</w:t>
      </w:r>
      <w:proofErr w:type="gramStart"/>
      <w:r w:rsidRPr="00761472">
        <w:rPr>
          <w:vertAlign w:val="superscript"/>
          <w:lang w:val="fr-CA"/>
        </w:rPr>
        <w:t>1,✉</w:t>
      </w:r>
      <w:proofErr w:type="gramEnd"/>
    </w:p>
    <w:p w14:paraId="46878AD2" w14:textId="77777777" w:rsidR="00772076" w:rsidRPr="00761472" w:rsidRDefault="00F103E3">
      <w:pPr>
        <w:pStyle w:val="FirstParagraph"/>
        <w:rPr>
          <w:lang w:val="fr-CA"/>
        </w:rPr>
      </w:pPr>
      <w:r w:rsidRPr="00761472">
        <w:rPr>
          <w:vertAlign w:val="superscript"/>
          <w:lang w:val="fr-CA"/>
        </w:rPr>
        <w:t>1</w:t>
      </w:r>
      <w:r w:rsidRPr="00761472">
        <w:rPr>
          <w:lang w:val="fr-CA"/>
        </w:rPr>
        <w:t xml:space="preserve"> </w:t>
      </w:r>
      <w:r w:rsidRPr="00761472">
        <w:rPr>
          <w:lang w:val="fr-CA"/>
        </w:rPr>
        <w:t>Département des Sciences biologiques, Université du Québec à Montréal, Montréal, Canada</w:t>
      </w:r>
    </w:p>
    <w:p w14:paraId="58E5631E" w14:textId="77777777" w:rsidR="00772076" w:rsidRDefault="00F103E3">
      <w:pPr>
        <w:pStyle w:val="BodyText"/>
      </w:pPr>
      <w:r>
        <w:rPr>
          <w:vertAlign w:val="superscript"/>
        </w:rPr>
        <w:t>✉</w:t>
      </w:r>
      <w:r>
        <w:t xml:space="preserve"> Correspondence: </w:t>
      </w:r>
      <w:hyperlink r:id="rId7">
        <w:r>
          <w:rPr>
            <w:rStyle w:val="Hyperlink"/>
          </w:rPr>
          <w:t>Clint D. Kelly &lt;kelly.clint@uqam.ca&gt;</w:t>
        </w:r>
      </w:hyperlink>
    </w:p>
    <w:p w14:paraId="73186504" w14:textId="77777777" w:rsidR="00772076" w:rsidRDefault="00F103E3">
      <w:r>
        <w:br w:type="page"/>
      </w:r>
    </w:p>
    <w:p w14:paraId="09E8329B" w14:textId="77777777" w:rsidR="00772076" w:rsidRDefault="00F103E3">
      <w:pPr>
        <w:pStyle w:val="Heading1"/>
      </w:pPr>
      <w:bookmarkStart w:id="0" w:name="abstract"/>
      <w:r>
        <w:lastRenderedPageBreak/>
        <w:t>Abstract</w:t>
      </w:r>
    </w:p>
    <w:p w14:paraId="2BEA2A38" w14:textId="77777777" w:rsidR="00772076" w:rsidRDefault="00F103E3">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w:t>
      </w:r>
      <w:r>
        <w:t>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w:t>
      </w:r>
      <w:r>
        <w:t>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51626BE0" w14:textId="77777777" w:rsidR="00772076" w:rsidRDefault="00F103E3">
      <w:r>
        <w:br w:type="page"/>
      </w:r>
    </w:p>
    <w:p w14:paraId="47D15FCB" w14:textId="77777777" w:rsidR="00772076" w:rsidRDefault="00F103E3">
      <w:pPr>
        <w:pStyle w:val="Heading1"/>
      </w:pPr>
      <w:bookmarkStart w:id="1" w:name="introduction"/>
      <w:bookmarkEnd w:id="0"/>
      <w:r>
        <w:lastRenderedPageBreak/>
        <w:t>Introduction</w:t>
      </w:r>
    </w:p>
    <w:p w14:paraId="4654CC68" w14:textId="77777777" w:rsidR="00772076" w:rsidRDefault="00F103E3">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w:t>
      </w:r>
      <w:r>
        <w:t xml:space="preserve">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we observe positive or negative correlations between fitness-related traits (e.g., egg number or egg size) depend</w:t>
      </w:r>
      <w:r>
        <w:t>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w:t>
      </w:r>
      <w:r>
        <w:t xml:space="preserve"> This means that females that acquire more reproductive resources can produce more and larger eggs, but must nevertheless trade off size and number.</w:t>
      </w:r>
    </w:p>
    <w:p w14:paraId="3E328D92" w14:textId="77777777" w:rsidR="00772076" w:rsidRDefault="00F103E3">
      <w:pPr>
        <w:pStyle w:val="BodyText"/>
      </w:pPr>
      <w:r>
        <w:t xml:space="preserve">Careau and Wilson (2017) argue that revealing a trade-off when contrasting processes occur at the among- and within-individual levels requires partitioning the phenotypic correlation between two competing traits into its among- and within-individual components. This can be achieved by </w:t>
      </w:r>
      <w:r>
        <w:lastRenderedPageBreak/>
        <w:t>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w:t>
      </w:r>
      <w:r>
        <w:t xml:space="preserve">off clutch and egg size. </w:t>
      </w:r>
      <w:r>
        <w:rPr>
          <w:i/>
          <w:iCs/>
        </w:rPr>
        <w:t>F. auricularia</w:t>
      </w:r>
      <w:r>
        <w:t xml:space="preserve"> is an ideal insect for testing this hypothesis because females lay a single clutch of eggs in a subterranean burrow within a short period of time (i.e. hours) (Meunier 2024). 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w:t>
      </w:r>
      <w:r>
        <w: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w:t>
      </w:r>
      <w:r>
        <w:t xml:space="preserve">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w:t>
      </w:r>
      <w:r>
        <w:lastRenderedPageBreak/>
        <w:t>(Clutton-Brock 1984). Fi</w:t>
      </w:r>
      <w:r>
        <w:t>nally, I explore whether eggs in first and second clutches differ in their size variation at the among- and within-female (clutch) levels (e.g. Hargitai et al. 2005).</w:t>
      </w:r>
    </w:p>
    <w:p w14:paraId="346DE112" w14:textId="77777777" w:rsidR="00772076" w:rsidRDefault="00F103E3">
      <w:pPr>
        <w:pStyle w:val="Heading1"/>
      </w:pPr>
      <w:bookmarkStart w:id="2" w:name="methods"/>
      <w:bookmarkEnd w:id="1"/>
      <w:r>
        <w:t>Methods</w:t>
      </w:r>
    </w:p>
    <w:p w14:paraId="766050DE" w14:textId="77777777" w:rsidR="00772076" w:rsidRDefault="00F103E3">
      <w:pPr>
        <w:pStyle w:val="FirstParagraph"/>
      </w:pPr>
      <w:r>
        <w:t>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680B52FA" w14:textId="77777777" w:rsidR="00772076" w:rsidRDefault="00F103E3">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157B241A" w14:textId="77777777" w:rsidR="00772076" w:rsidRDefault="00F103E3">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w:t>
      </w:r>
      <w:r>
        <w:t xml:space="preserve">th a 12L:12D light: dark cycle. Females were maintained under these conditions for two weeks, at which time a haphazardly chosen stock male from our </w:t>
      </w:r>
      <w:r>
        <w:lastRenderedPageBreak/>
        <w:t>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w:t>
      </w:r>
      <w:r>
        <w:t>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w:t>
      </w:r>
      <w:r>
        <w:t xml:space="preserve"> by 4 days.</w:t>
      </w:r>
    </w:p>
    <w:p w14:paraId="3024C6C6" w14:textId="77777777" w:rsidR="00772076" w:rsidRDefault="00F103E3">
      <w:pPr>
        <w:pStyle w:val="Heading3"/>
      </w:pPr>
      <w:bookmarkStart w:id="3" w:name="statistical-analysis"/>
      <w:r>
        <w:t>Statistical analysis</w:t>
      </w:r>
    </w:p>
    <w:p w14:paraId="0DEA5ECB" w14:textId="77777777" w:rsidR="00772076" w:rsidRDefault="00F103E3">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Because the measurements of my three traits were highly repeatable (pronotum length: </w:t>
      </w:r>
      <w:r>
        <w:rPr>
          <w:i/>
          <w:iCs/>
        </w:rPr>
        <w:t>R</w:t>
      </w:r>
      <w:r>
        <w:t xml:space="preserve"> [95% CI] = 0.98 [0.97, 0.99]; body mass: </w:t>
      </w:r>
      <w:r>
        <w:rPr>
          <w:i/>
          <w:iCs/>
        </w:rPr>
        <w:t>R</w:t>
      </w:r>
      <w:r>
        <w:t xml:space="preserve"> [95% CI] = 0.99 [0.988, 0.996] egg perimeter in the first brood: </w:t>
      </w:r>
      <w:r>
        <w:rPr>
          <w:i/>
          <w:iCs/>
        </w:rPr>
        <w:t>R</w:t>
      </w:r>
      <w:r>
        <w:t xml:space="preserve"> [95% CI] = 0.977 [0.976, 0.979] and in the second brood: </w:t>
      </w:r>
      <w:r>
        <w:rPr>
          <w:i/>
          <w:iCs/>
        </w:rPr>
        <w:t>R</w:t>
      </w:r>
      <w:r>
        <w:t xml:space="preserve"> [95% CI] = 0.93 [0.926, 0.937] ), I used each female</w:t>
      </w:r>
      <w:r>
        <w:t>’s mean value for each trait in all subsequent analyses.</w:t>
      </w:r>
    </w:p>
    <w:p w14:paraId="73434272" w14:textId="77777777" w:rsidR="00772076" w:rsidRDefault="00F103E3">
      <w:pPr>
        <w:pStyle w:val="BodyText"/>
      </w:pPr>
      <w:r>
        <w:t xml:space="preserve">I reduced the two measurements representing body size (pronotum length and body mass) to a single value (PC1) by performing a principal components analysis (PCA) on the correlation matrix of standardized measurements using the </w:t>
      </w:r>
      <w:r>
        <w:rPr>
          <w:i/>
          <w:iCs/>
        </w:rPr>
        <w:t>prcomp</w:t>
      </w:r>
      <w:r>
        <w:t xml:space="preserve"> function in the stats package in R (R </w:t>
      </w:r>
      <w:r>
        <w:lastRenderedPageBreak/>
        <w:t>Core Team 2025). The first PC accounted for 60.8% of the variation. I also standardised female body mass relative to body size using the scaled mass index procedure of Peig and Green (2009, 2010; see also Kelly et al. 2014).</w:t>
      </w:r>
    </w:p>
    <w:p w14:paraId="76591229" w14:textId="77777777" w:rsidR="00772076" w:rsidRDefault="00F103E3">
      <w:pPr>
        <w:pStyle w:val="BodyText"/>
      </w:pPr>
      <w:r>
        <w:t xml:space="preserve">I tested whether egg number and egg size changed across successive broods by fitting a multivariate Bayesian mixed-effects model including clutch order (first vs. second clutch) as a fixed effect for both traits. Egg size was modelled using a Gaussian distribution with an identity link, whereas egg number was modelled using a Poisson distribution with a log link. For female </w:t>
      </w:r>
      <w:r>
        <w:rPr>
          <w:i/>
          <w:iCs/>
        </w:rPr>
        <w:t>i</w:t>
      </w:r>
      <w:r>
        <w:t xml:space="preserve"> and brood </w:t>
      </w:r>
      <w:r>
        <w:rPr>
          <w:i/>
          <w:iCs/>
        </w:rPr>
        <w:t>j</w:t>
      </w:r>
      <w:r>
        <w:t>, the model was specified as:</w:t>
      </w:r>
    </w:p>
    <w:p w14:paraId="521AADBF" w14:textId="77777777" w:rsidR="00772076" w:rsidRDefault="00F103E3">
      <w:pPr>
        <w:pStyle w:val="Heading2"/>
      </w:pPr>
      <w:bookmarkStart w:id="4" w:name="multivariate-brood-order-model"/>
      <w:bookmarkEnd w:id="3"/>
      <w:r>
        <w:t>Multivariate Brood-Order Model</w:t>
      </w:r>
    </w:p>
    <w:p w14:paraId="64886628" w14:textId="77777777" w:rsidR="00772076" w:rsidRDefault="00F103E3">
      <w:pPr>
        <w:pStyle w:val="FirstParagraph"/>
      </w:pPr>
      <w:r>
        <w:t xml:space="preserve">For female </w:t>
      </w:r>
      <m:oMath>
        <m:r>
          <w:rPr>
            <w:rFonts w:ascii="Cambria Math" w:hAnsi="Cambria Math"/>
          </w:rPr>
          <m:t>i</m:t>
        </m:r>
      </m:oMath>
      <w:r>
        <w:t xml:space="preserve"> and brood </w:t>
      </w:r>
      <m:oMath>
        <m:r>
          <w:rPr>
            <w:rFonts w:ascii="Cambria Math" w:hAnsi="Cambria Math"/>
          </w:rPr>
          <m:t>j</m:t>
        </m:r>
      </m:oMath>
      <w:r>
        <w:t>, mean egg size and egg number were modelled jointly as:</w:t>
      </w:r>
    </w:p>
    <w:p w14:paraId="5FC3EA57" w14:textId="77777777" w:rsidR="00772076" w:rsidRDefault="00F103E3">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MeanEggSize</m:t>
                    </m:r>
                  </m:e>
                  <m:sub>
                    <m:r>
                      <w:rPr>
                        <w:rFonts w:ascii="Cambria Math" w:hAnsi="Cambria Math"/>
                      </w:rPr>
                      <m:t>ij</m:t>
                    </m:r>
                  </m:sub>
                </m:sSub>
              </m:e>
              <m:e>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1</m:t>
                        </m:r>
                        <m:r>
                          <m:rPr>
                            <m:sty m:val="p"/>
                          </m:rPr>
                          <w:rPr>
                            <w:rFonts w:ascii="Cambria Math" w:hAnsi="Cambria Math"/>
                          </w:rPr>
                          <m:t>,</m:t>
                        </m:r>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e>
                </m:d>
              </m:e>
            </m:mr>
            <m:mr>
              <m:e>
                <m:sSub>
                  <m:sSubPr>
                    <m:ctrlPr>
                      <w:rPr>
                        <w:rFonts w:ascii="Cambria Math" w:hAnsi="Cambria Math"/>
                      </w:rPr>
                    </m:ctrlPr>
                  </m:sSubPr>
                  <m:e>
                    <m:r>
                      <w:rPr>
                        <w:rFonts w:ascii="Cambria Math" w:hAnsi="Cambria Math"/>
                      </w:rPr>
                      <m:t>μ</m:t>
                    </m:r>
                  </m:e>
                  <m:sub>
                    <m:r>
                      <w:rPr>
                        <w:rFonts w:ascii="Cambria Math" w:hAnsi="Cambria Math"/>
                      </w:rPr>
                      <m:t>1</m:t>
                    </m:r>
                    <m:r>
                      <m:rPr>
                        <m:sty m:val="p"/>
                      </m:rPr>
                      <w:rPr>
                        <w:rFonts w:ascii="Cambria Math" w:hAnsi="Cambria Math"/>
                      </w:rPr>
                      <m:t>,</m:t>
                    </m:r>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e/>
            </m:mr>
            <m:mr>
              <m:e>
                <m:sSub>
                  <m:sSubPr>
                    <m:ctrlPr>
                      <w:rPr>
                        <w:rFonts w:ascii="Cambria Math" w:hAnsi="Cambria Math"/>
                      </w:rPr>
                    </m:ctrlPr>
                  </m:sSubPr>
                  <m:e>
                    <m:r>
                      <m:rPr>
                        <m:nor/>
                      </m:rPr>
                      <m:t>EggNumber</m:t>
                    </m:r>
                  </m:e>
                  <m:sub>
                    <m:r>
                      <w:rPr>
                        <w:rFonts w:ascii="Cambria Math" w:hAnsi="Cambria Math"/>
                      </w:rPr>
                      <m:t>ij</m:t>
                    </m:r>
                  </m:sub>
                </m:sSub>
              </m:e>
              <m:e>
                <m:r>
                  <m:rPr>
                    <m:sty m:val="p"/>
                  </m:rPr>
                  <w:rPr>
                    <w:rFonts w:ascii="Cambria Math" w:hAnsi="Cambria Math"/>
                  </w:rPr>
                  <m:t>∼</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ij</m:t>
                        </m:r>
                      </m:sub>
                    </m:sSub>
                  </m:e>
                </m:d>
              </m:e>
            </m:mr>
            <m:mr>
              <m:e>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ij</m:t>
                        </m:r>
                      </m:sub>
                    </m:sSub>
                  </m:e>
                </m:d>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m:rPr>
                        <m:nor/>
                      </m:rPr>
                      <m:t>brood</m:t>
                    </m:r>
                  </m:sub>
                </m:sSub>
                <m:r>
                  <w:rPr>
                    <w:rFonts w:ascii="Cambria Math" w:hAnsi="Cambria Math"/>
                  </w:rPr>
                  <m:t> </m:t>
                </m:r>
                <m:sSub>
                  <m:sSubPr>
                    <m:ctrlPr>
                      <w:rPr>
                        <w:rFonts w:ascii="Cambria Math" w:hAnsi="Cambria Math"/>
                      </w:rPr>
                    </m:ctrlPr>
                  </m:sSubPr>
                  <m:e>
                    <m:r>
                      <m:rPr>
                        <m:nor/>
                      </m:rPr>
                      <m:t>Brood</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r>
              <m:e/>
              <m:e/>
            </m:mr>
            <m:mr>
              <m:e>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
                  </m:e>
                </m:d>
              </m:e>
              <m:e>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m:t>
                        </m:r>
                      </m:sub>
                    </m:sSub>
                  </m:e>
                </m:d>
              </m:e>
            </m:mr>
          </m:m>
        </m:oMath>
      </m:oMathPara>
    </w:p>
    <w:p w14:paraId="7A01F553" w14:textId="77777777" w:rsidR="00772076" w:rsidRDefault="00F103E3">
      <w:pPr>
        <w:pStyle w:val="FirstParagrap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oMath>
      <w:r>
        <w:t xml:space="preserve"> are female-specific random intercepts and </w:t>
      </w:r>
      <m:oMath>
        <m:sSub>
          <m:sSubPr>
            <m:ctrlPr>
              <w:rPr>
                <w:rFonts w:ascii="Cambria Math" w:hAnsi="Cambria Math"/>
              </w:rPr>
            </m:ctrlPr>
          </m:sSubPr>
          <m:e>
            <m:r>
              <w:rPr>
                <w:rFonts w:ascii="Cambria Math" w:hAnsi="Cambria Math"/>
              </w:rPr>
              <m:t>Σ</m:t>
            </m:r>
          </m:e>
          <m:sub>
            <m:r>
              <w:rPr>
                <w:rFonts w:ascii="Cambria Math" w:hAnsi="Cambria Math"/>
              </w:rPr>
              <m:t>b</m:t>
            </m:r>
          </m:sub>
        </m:sSub>
      </m:oMath>
      <w:r>
        <w:t xml:space="preserve"> is the female-level variance–covariance matrix. Residual correlations between traits were not estimated (</w:t>
      </w:r>
      <w:r>
        <w:rPr>
          <w:rStyle w:val="VerbatimChar"/>
        </w:rPr>
        <w:t>set_rescor(FALSE)</w:t>
      </w:r>
      <w:r>
        <w:t>). Female identity was included as a random effect for both traits to account for repeated measures. This model tested whether egg traits systematically differed between first and second clutches while accounting for among-female variation.</w:t>
      </w:r>
    </w:p>
    <w:p w14:paraId="382D7CAB" w14:textId="77777777" w:rsidR="00772076" w:rsidRDefault="00F103E3">
      <w:pPr>
        <w:pStyle w:val="Heading2"/>
      </w:pPr>
      <w:bookmarkStart w:id="5" w:name="multilevel-correlations"/>
      <w:bookmarkEnd w:id="4"/>
      <w:r>
        <w:lastRenderedPageBreak/>
        <w:t>Multilevel correlations</w:t>
      </w:r>
    </w:p>
    <w:p w14:paraId="44148E34" w14:textId="77777777" w:rsidR="00772076" w:rsidRDefault="00F103E3">
      <w:pPr>
        <w:pStyle w:val="Heading3"/>
      </w:pPr>
      <w:bookmarkStart w:id="6" w:name="raw-phenotypic-correlation"/>
      <w:r>
        <w:t>Raw phenotypic correlation</w:t>
      </w:r>
    </w:p>
    <w:p w14:paraId="63A031D0" w14:textId="77777777" w:rsidR="00772076" w:rsidRDefault="00F103E3">
      <w:pPr>
        <w:pStyle w:val="FirstParagraph"/>
      </w:pPr>
      <w:r>
        <w:t>I first calculated the raw phenotypic association between egg number and egg size across all observations using Pearson’s correlation coefficient (</w:t>
      </w:r>
      <w:r>
        <w:rPr>
          <w:i/>
          <w:iCs/>
        </w:rPr>
        <w:t>r</w:t>
      </w:r>
      <w:r>
        <w:t>). This estimate reflects the overall linear association between traits without accounting for repeated measures or hierarchical structure.</w:t>
      </w:r>
    </w:p>
    <w:p w14:paraId="13A3D900" w14:textId="77777777" w:rsidR="00772076" w:rsidRDefault="00F103E3">
      <w:pPr>
        <w:pStyle w:val="Heading3"/>
      </w:pPr>
      <w:bookmarkStart w:id="7" w:name="between-female-correlation"/>
      <w:bookmarkEnd w:id="6"/>
      <w:r>
        <w:t>Between-female correlation</w:t>
      </w:r>
    </w:p>
    <w:p w14:paraId="0FC87FB6" w14:textId="77777777" w:rsidR="00772076" w:rsidRDefault="00F103E3">
      <w:pPr>
        <w:pStyle w:val="FirstParagraph"/>
      </w:pPr>
      <w:r>
        <w:t>To quantify among-female covariation, I calculated the Pearson correlation between female mean egg number and female mean egg size. Female means were calculated across broods. This approach isolates between-female covariance independent of within-female variation.</w:t>
      </w:r>
    </w:p>
    <w:p w14:paraId="19D83120" w14:textId="77777777" w:rsidR="00772076" w:rsidRDefault="00F103E3">
      <w:pPr>
        <w:pStyle w:val="Heading3"/>
      </w:pPr>
      <w:bookmarkStart w:id="8" w:name="X87e37a818f147ef2a5a26f637cd19304f3671a4"/>
      <w:bookmarkEnd w:id="7"/>
      <w:r>
        <w:t>Partitioning among- and residual covariance</w:t>
      </w:r>
    </w:p>
    <w:p w14:paraId="15E16175" w14:textId="77777777" w:rsidR="00772076" w:rsidRDefault="00F103E3">
      <w:pPr>
        <w:pStyle w:val="FirstParagraph"/>
      </w:pPr>
      <w:r>
        <w:t>To formally partition covariance into among-female and residual components, I fitted a multivariate Gaussian mixed-effects model:</w:t>
      </w:r>
    </w:p>
    <w:p w14:paraId="02648E43" w14:textId="77777777" w:rsidR="00772076" w:rsidRDefault="00F103E3">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m:rPr>
                        <m:nor/>
                      </m:rPr>
                      <m:t>MeanEggSize</m:t>
                    </m:r>
                  </m:e>
                  <m:sub>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1</m:t>
                    </m:r>
                    <m:r>
                      <m:rPr>
                        <m:sty m:val="p"/>
                      </m:rPr>
                      <w:rPr>
                        <w:rFonts w:ascii="Cambria Math" w:hAnsi="Cambria Math"/>
                      </w:rPr>
                      <m:t>,</m:t>
                    </m:r>
                    <m:r>
                      <w:rPr>
                        <w:rFonts w:ascii="Cambria Math" w:hAnsi="Cambria Math"/>
                      </w:rPr>
                      <m:t>ij</m:t>
                    </m:r>
                  </m:sub>
                </m:sSub>
              </m:e>
            </m:mr>
            <m:mr>
              <m:e/>
              <m:e/>
            </m:mr>
            <m:mr>
              <m:e>
                <m:sSub>
                  <m:sSubPr>
                    <m:ctrlPr>
                      <w:rPr>
                        <w:rFonts w:ascii="Cambria Math" w:hAnsi="Cambria Math"/>
                      </w:rPr>
                    </m:ctrlPr>
                  </m:sSubPr>
                  <m:e>
                    <m:r>
                      <m:rPr>
                        <m:nor/>
                      </m:rPr>
                      <m:t>EggNumber</m:t>
                    </m:r>
                  </m:e>
                  <m:sub>
                    <m:r>
                      <w:rPr>
                        <w:rFonts w:ascii="Cambria Math" w:hAnsi="Cambria Math"/>
                      </w:rPr>
                      <m:t>ij</m:t>
                    </m:r>
                  </m:sub>
                </m:sSub>
              </m:e>
              <m:e>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2</m:t>
                    </m:r>
                    <m:r>
                      <m:rPr>
                        <m:sty m:val="p"/>
                      </m:rPr>
                      <w:rPr>
                        <w:rFonts w:ascii="Cambria Math" w:hAnsi="Cambria Math"/>
                      </w:rPr>
                      <m:t>,</m:t>
                    </m:r>
                    <m:r>
                      <w:rPr>
                        <w:rFonts w:ascii="Cambria Math" w:hAnsi="Cambria Math"/>
                      </w:rPr>
                      <m:t>ij</m:t>
                    </m:r>
                  </m:sub>
                </m:sSub>
              </m:e>
            </m:mr>
          </m:m>
        </m:oMath>
      </m:oMathPara>
    </w:p>
    <w:p w14:paraId="66B26220" w14:textId="77777777" w:rsidR="00772076" w:rsidRDefault="00F103E3">
      <w:pPr>
        <w:pStyle w:val="FirstParagraph"/>
      </w:pPr>
      <w:r>
        <w:t>with random effects and residuals distributed as:</w:t>
      </w:r>
    </w:p>
    <w:p w14:paraId="646B51E6" w14:textId="77777777" w:rsidR="00772076" w:rsidRDefault="00F103E3">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1</m:t>
                        </m:r>
                        <m:r>
                          <m:rPr>
                            <m:sty m:val="p"/>
                          </m:rPr>
                          <w:rPr>
                            <w:rFonts w:ascii="Cambria Math" w:hAnsi="Cambria Math"/>
                          </w:rPr>
                          <m:t>,</m:t>
                        </m:r>
                        <m:r>
                          <w:rPr>
                            <w:rFonts w:ascii="Cambria Math" w:hAnsi="Cambria Math"/>
                          </w:rPr>
                          <m:t>i</m:t>
                        </m:r>
                      </m:sub>
                    </m:sSub>
                  </m:e>
                </m:mr>
                <m:mr>
                  <m:e>
                    <m:sSub>
                      <m:sSubPr>
                        <m:ctrlPr>
                          <w:rPr>
                            <w:rFonts w:ascii="Cambria Math" w:hAnsi="Cambria Math"/>
                          </w:rPr>
                        </m:ctrlPr>
                      </m:sSubPr>
                      <m:e>
                        <m:r>
                          <w:rPr>
                            <w:rFonts w:ascii="Cambria Math" w:hAnsi="Cambria Math"/>
                          </w:rPr>
                          <m:t>b</m:t>
                        </m:r>
                      </m:e>
                      <m:sub>
                        <m:r>
                          <w:rPr>
                            <w:rFonts w:ascii="Cambria Math" w:hAnsi="Cambria Math"/>
                          </w:rPr>
                          <m:t>2</m:t>
                        </m:r>
                        <m:r>
                          <m:rPr>
                            <m:sty m:val="p"/>
                          </m:rPr>
                          <w:rPr>
                            <w:rFonts w:ascii="Cambria Math" w:hAnsi="Cambria Math"/>
                          </w:rPr>
                          <m:t>,</m:t>
                        </m:r>
                        <m:r>
                          <w:rPr>
                            <w:rFonts w:ascii="Cambria Math" w:hAnsi="Cambria Math"/>
                          </w:rPr>
                          <m:t>i</m:t>
                        </m:r>
                      </m:sub>
                    </m:sSub>
                  </m:e>
                </m:mr>
              </m:m>
            </m:e>
          </m:d>
          <m:r>
            <m:rPr>
              <m:scr m:val="script"/>
              <m:sty m:val="p"/>
            </m:rPr>
            <w:rPr>
              <w:rFonts w:ascii="Cambria Math" w:hAnsi="Cambria Math"/>
            </w:rPr>
            <m:t>∼M</m:t>
          </m:r>
          <m:r>
            <m:rPr>
              <m:scr m:val="script"/>
              <m:sty m:val="p"/>
            </m:rPr>
            <w:rPr>
              <w:rFonts w:ascii="Cambria Math" w:hAnsi="Cambria Math"/>
            </w:rPr>
            <m:t>VN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m:t>
                  </m:r>
                </m:sub>
              </m:sSub>
            </m:e>
          </m:d>
          <m:r>
            <m:rPr>
              <m:sty m:val="p"/>
            </m:rPr>
            <w:rPr>
              <w:rFonts w:ascii="Cambria Math" w:hAnsi="Cambria Math"/>
            </w:rPr>
            <m:t>,</m:t>
          </m:r>
          <m:r>
            <w:rPr>
              <w:rFonts w:ascii="Cambria Math" w:hAnsi="Cambria Math"/>
            </w:rPr>
            <m:t>  </m:t>
          </m:r>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ε</m:t>
                        </m:r>
                      </m:e>
                      <m:sub>
                        <m:r>
                          <w:rPr>
                            <w:rFonts w:ascii="Cambria Math" w:hAnsi="Cambria Math"/>
                          </w:rPr>
                          <m:t>1</m:t>
                        </m:r>
                        <m:r>
                          <m:rPr>
                            <m:sty m:val="p"/>
                          </m:rPr>
                          <w:rPr>
                            <w:rFonts w:ascii="Cambria Math" w:hAnsi="Cambria Math"/>
                          </w:rPr>
                          <m:t>,</m:t>
                        </m:r>
                        <m:r>
                          <w:rPr>
                            <w:rFonts w:ascii="Cambria Math" w:hAnsi="Cambria Math"/>
                          </w:rPr>
                          <m:t>ij</m:t>
                        </m:r>
                      </m:sub>
                    </m:sSub>
                  </m:e>
                </m:mr>
                <m:mr>
                  <m:e>
                    <m:sSub>
                      <m:sSubPr>
                        <m:ctrlPr>
                          <w:rPr>
                            <w:rFonts w:ascii="Cambria Math" w:hAnsi="Cambria Math"/>
                          </w:rPr>
                        </m:ctrlPr>
                      </m:sSubPr>
                      <m:e>
                        <m:r>
                          <w:rPr>
                            <w:rFonts w:ascii="Cambria Math" w:hAnsi="Cambria Math"/>
                          </w:rPr>
                          <m:t>ε</m:t>
                        </m:r>
                      </m:e>
                      <m:sub>
                        <m:r>
                          <w:rPr>
                            <w:rFonts w:ascii="Cambria Math" w:hAnsi="Cambria Math"/>
                          </w:rPr>
                          <m:t>2</m:t>
                        </m:r>
                        <m:r>
                          <m:rPr>
                            <m:sty m:val="p"/>
                          </m:rPr>
                          <w:rPr>
                            <w:rFonts w:ascii="Cambria Math" w:hAnsi="Cambria Math"/>
                          </w:rPr>
                          <m:t>,</m:t>
                        </m:r>
                        <m:r>
                          <w:rPr>
                            <w:rFonts w:ascii="Cambria Math" w:hAnsi="Cambria Math"/>
                          </w:rPr>
                          <m:t>ij</m:t>
                        </m:r>
                      </m:sub>
                    </m:sSub>
                  </m:e>
                </m:mr>
              </m:m>
            </m:e>
          </m:d>
          <m:r>
            <m:rPr>
              <m:scr m:val="script"/>
              <m:sty m:val="p"/>
            </m:rPr>
            <w:rPr>
              <w:rFonts w:ascii="Cambria Math" w:hAnsi="Cambria Math"/>
            </w:rPr>
            <m:t>∼M</m:t>
          </m:r>
          <m:r>
            <m:rPr>
              <m:scr m:val="script"/>
              <m:sty m:val="p"/>
            </m:rPr>
            <w:rPr>
              <w:rFonts w:ascii="Cambria Math" w:hAnsi="Cambria Math"/>
            </w:rPr>
            <m:t>VN</m:t>
          </m:r>
          <m:d>
            <m:dPr>
              <m:ctrlPr>
                <w:rPr>
                  <w:rFonts w:ascii="Cambria Math" w:hAnsi="Cambria Math"/>
                </w:rPr>
              </m:ctrlPr>
            </m:dPr>
            <m:e>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ε</m:t>
                  </m:r>
                </m:sub>
              </m:sSub>
            </m:e>
          </m:d>
        </m:oMath>
      </m:oMathPara>
    </w:p>
    <w:p w14:paraId="0431C118" w14:textId="77777777" w:rsidR="00772076" w:rsidRDefault="00F103E3">
      <w:pPr>
        <w:pStyle w:val="FirstParagraph"/>
      </w:pPr>
      <w:r>
        <w:t xml:space="preserve">The covariance matrix </w:t>
      </w:r>
      <m:oMath>
        <m:sSub>
          <m:sSubPr>
            <m:ctrlPr>
              <w:rPr>
                <w:rFonts w:ascii="Cambria Math" w:hAnsi="Cambria Math"/>
              </w:rPr>
            </m:ctrlPr>
          </m:sSubPr>
          <m:e>
            <m:r>
              <w:rPr>
                <w:rFonts w:ascii="Cambria Math" w:hAnsi="Cambria Math"/>
              </w:rPr>
              <m:t>Σ</m:t>
            </m:r>
          </m:e>
          <m:sub>
            <m:r>
              <w:rPr>
                <w:rFonts w:ascii="Cambria Math" w:hAnsi="Cambria Math"/>
              </w:rPr>
              <m:t>b</m:t>
            </m:r>
          </m:sub>
        </m:sSub>
      </m:oMath>
      <w:r>
        <w:t xml:space="preserve"> captures among-female covariance, whereas </w:t>
      </w:r>
      <m:oMath>
        <m:sSub>
          <m:sSubPr>
            <m:ctrlPr>
              <w:rPr>
                <w:rFonts w:ascii="Cambria Math" w:hAnsi="Cambria Math"/>
              </w:rPr>
            </m:ctrlPr>
          </m:sSubPr>
          <m:e>
            <m:r>
              <w:rPr>
                <w:rFonts w:ascii="Cambria Math" w:hAnsi="Cambria Math"/>
              </w:rPr>
              <m:t>Σ</m:t>
            </m:r>
          </m:e>
          <m:sub>
            <m:r>
              <w:rPr>
                <w:rFonts w:ascii="Cambria Math" w:hAnsi="Cambria Math"/>
              </w:rPr>
              <m:t>ε</m:t>
            </m:r>
          </m:sub>
        </m:sSub>
      </m:oMath>
      <w:r>
        <w:t xml:space="preserve"> estimates residual (within-female) covariance after accounting for female identity (</w:t>
      </w:r>
      <w:r>
        <w:rPr>
          <w:rStyle w:val="VerbatimChar"/>
        </w:rPr>
        <w:t>set_rescor(TRUE)</w:t>
      </w:r>
      <w:r>
        <w:t>).</w:t>
      </w:r>
    </w:p>
    <w:p w14:paraId="03C975B6" w14:textId="77777777" w:rsidR="00772076" w:rsidRDefault="00F103E3">
      <w:pPr>
        <w:pStyle w:val="Heading2"/>
      </w:pPr>
      <w:bookmarkStart w:id="9" w:name="withinbetween-fixed-effects-model"/>
      <w:bookmarkEnd w:id="5"/>
      <w:bookmarkEnd w:id="8"/>
      <w:r>
        <w:lastRenderedPageBreak/>
        <w:t>Within–Between Fixed Effects Model</w:t>
      </w:r>
    </w:p>
    <w:p w14:paraId="62B57F3D" w14:textId="77777777" w:rsidR="00772076" w:rsidRDefault="00F103E3">
      <w:pPr>
        <w:pStyle w:val="FirstParagraph"/>
      </w:pPr>
      <w:r>
        <w:t>To explicitly separate within- and between-female effects of egg number on egg size, egg number was decomposed as:</w:t>
      </w:r>
    </w:p>
    <w:p w14:paraId="67DF22DF" w14:textId="77777777" w:rsidR="00772076" w:rsidRDefault="00F103E3">
      <w:pPr>
        <w:pStyle w:val="Compact"/>
        <w:numPr>
          <w:ilvl w:val="0"/>
          <w:numId w:val="15"/>
        </w:numPr>
      </w:pPr>
      <w:r>
        <w:t>Within-female deviation</w:t>
      </w:r>
    </w:p>
    <w:p w14:paraId="7649AB70" w14:textId="77777777" w:rsidR="00772076" w:rsidRDefault="00F103E3">
      <w:pPr>
        <w:pStyle w:val="FirstParagraph"/>
      </w:pPr>
      <m:oMathPara>
        <m:oMathParaPr>
          <m:jc m:val="center"/>
        </m:oMathParaPr>
        <m:oMath>
          <m:sSub>
            <m:sSubPr>
              <m:ctrlPr>
                <w:rPr>
                  <w:rFonts w:ascii="Cambria Math" w:hAnsi="Cambria Math"/>
                </w:rPr>
              </m:ctrlPr>
            </m:sSubPr>
            <m:e>
              <m:r>
                <m:rPr>
                  <m:nor/>
                </m:rPr>
                <m:t>EggNumber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m:rPr>
                  <m:nor/>
                </m:rPr>
                <m:t>EggNumber</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EggNumber</m:t>
                  </m:r>
                </m:e>
              </m:acc>
            </m:e>
            <m:sub>
              <m:r>
                <w:rPr>
                  <w:rFonts w:ascii="Cambria Math" w:hAnsi="Cambria Math"/>
                </w:rPr>
                <m:t>i</m:t>
              </m:r>
            </m:sub>
          </m:sSub>
        </m:oMath>
      </m:oMathPara>
    </w:p>
    <w:p w14:paraId="0342CD25" w14:textId="77777777" w:rsidR="00772076" w:rsidRDefault="00F103E3">
      <w:pPr>
        <w:pStyle w:val="Compact"/>
        <w:numPr>
          <w:ilvl w:val="0"/>
          <w:numId w:val="16"/>
        </w:numPr>
      </w:pPr>
      <w:r>
        <w:t>Between-female component</w:t>
      </w:r>
    </w:p>
    <w:p w14:paraId="34C4B5AC" w14:textId="77777777" w:rsidR="00772076" w:rsidRDefault="00F103E3">
      <w:pPr>
        <w:pStyle w:val="FirstParagraph"/>
      </w:pPr>
      <m:oMathPara>
        <m:oMathParaPr>
          <m:jc m:val="center"/>
        </m:oMathParaPr>
        <m:oMath>
          <m:sSub>
            <m:sSubPr>
              <m:ctrlPr>
                <w:rPr>
                  <w:rFonts w:ascii="Cambria Math" w:hAnsi="Cambria Math"/>
                </w:rPr>
              </m:ctrlPr>
            </m:sSubPr>
            <m:e>
              <m:r>
                <m:rPr>
                  <m:nor/>
                </m:rPr>
                <m:t>EggNumber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m:rPr>
                      <m:nor/>
                    </m:rPr>
                    <m:t>EggNumber</m:t>
                  </m:r>
                </m:e>
              </m:acc>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m:rPr>
                  <m:nor/>
                </m:rPr>
                <m:t>EggNumber</m:t>
              </m:r>
            </m:e>
          </m:acc>
        </m:oMath>
      </m:oMathPara>
    </w:p>
    <w:p w14:paraId="797A47EC" w14:textId="77777777" w:rsidR="00772076" w:rsidRDefault="00F103E3">
      <w:pPr>
        <w:pStyle w:val="FirstParagraph"/>
      </w:pPr>
      <w:r>
        <w:t>We then fitted the following linear mixed-effects model:</w:t>
      </w:r>
    </w:p>
    <w:p w14:paraId="632621AB" w14:textId="77777777" w:rsidR="00772076" w:rsidRDefault="00F103E3">
      <w:pPr>
        <w:pStyle w:val="BodyText"/>
      </w:pPr>
      <m:oMathPara>
        <m:oMathParaPr>
          <m:jc m:val="center"/>
        </m:oMathParaPr>
        <m:oMath>
          <m:sSub>
            <m:sSubPr>
              <m:ctrlPr>
                <w:rPr>
                  <w:rFonts w:ascii="Cambria Math" w:hAnsi="Cambria Math"/>
                </w:rPr>
              </m:ctrlPr>
            </m:sSubPr>
            <m:e>
              <m:r>
                <m:rPr>
                  <m:nor/>
                </m:rPr>
                <m:t>MeanEggSize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W</m:t>
              </m:r>
            </m:sub>
          </m:sSub>
          <m:r>
            <w:rPr>
              <w:rFonts w:ascii="Cambria Math" w:hAnsi="Cambria Math"/>
            </w:rPr>
            <m:t> </m:t>
          </m:r>
          <m:sSub>
            <m:sSubPr>
              <m:ctrlPr>
                <w:rPr>
                  <w:rFonts w:ascii="Cambria Math" w:hAnsi="Cambria Math"/>
                </w:rPr>
              </m:ctrlPr>
            </m:sSubPr>
            <m:e>
              <m:r>
                <m:rPr>
                  <m:nor/>
                </m:rPr>
                <m:t>EggNumber</m:t>
              </m:r>
            </m:e>
            <m:sub>
              <m:r>
                <m:rPr>
                  <m:nor/>
                </m:rPr>
                <m:t>within</m:t>
              </m:r>
              <m:r>
                <m:rPr>
                  <m:sty m:val="p"/>
                </m:rPr>
                <w:rPr>
                  <w:rFonts w:ascii="Cambria Math" w:hAnsi="Cambria Math"/>
                </w:rPr>
                <m:t>,</m:t>
              </m:r>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B</m:t>
              </m:r>
            </m:sub>
          </m:sSub>
          <m:r>
            <w:rPr>
              <w:rFonts w:ascii="Cambria Math" w:hAnsi="Cambria Math"/>
            </w:rPr>
            <m:t> </m:t>
          </m:r>
          <m:sSub>
            <m:sSubPr>
              <m:ctrlPr>
                <w:rPr>
                  <w:rFonts w:ascii="Cambria Math" w:hAnsi="Cambria Math"/>
                </w:rPr>
              </m:ctrlPr>
            </m:sSubPr>
            <m:e>
              <m:r>
                <m:rPr>
                  <m:nor/>
                </m:rPr>
                <m:t>EggNumber</m:t>
              </m:r>
            </m:e>
            <m:sub>
              <m:r>
                <m:rPr>
                  <m:nor/>
                </m:rPr>
                <m:t>between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oMath>
      </m:oMathPara>
    </w:p>
    <w:p w14:paraId="48E67D67" w14:textId="77777777" w:rsidR="00772076" w:rsidRDefault="00F103E3">
      <w:pPr>
        <w:pStyle w:val="FirstParagraph"/>
      </w:pPr>
      <w:r>
        <w:t>with</w:t>
      </w:r>
    </w:p>
    <w:p w14:paraId="4D65C1EB" w14:textId="77777777" w:rsidR="00772076" w:rsidRDefault="00F103E3">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0</m:t>
              </m:r>
              <m:r>
                <w:rPr>
                  <w:rFonts w:ascii="Cambria Math" w:hAnsi="Cambria Math"/>
                </w:rPr>
                <m:t>i</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m:rPr>
                      <m:nor/>
                    </m:rPr>
                    <m:t>id</m:t>
                  </m:r>
                </m:sub>
                <m:sup>
                  <m:r>
                    <w:rPr>
                      <w:rFonts w:ascii="Cambria Math" w:hAnsi="Cambria Math"/>
                    </w:rPr>
                    <m:t>2</m:t>
                  </m:r>
                </m:sup>
              </m:sSub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ij</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e>
          </m:d>
        </m:oMath>
      </m:oMathPara>
    </w:p>
    <w:p w14:paraId="53CD249E" w14:textId="77777777" w:rsidR="00772076" w:rsidRDefault="00F103E3">
      <w:pPr>
        <w:pStyle w:val="FirstParagraph"/>
      </w:pPr>
      <w:r>
        <w:t xml:space="preserve">The coefficient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estimates the within-female (plastic) effect of egg number on egg size, whereas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estimates the between-female (strategic) effect.</w:t>
      </w:r>
    </w:p>
    <w:p w14:paraId="0002AFD9" w14:textId="77777777" w:rsidR="00772076" w:rsidRDefault="00F103E3">
      <w:pPr>
        <w:pStyle w:val="BodyText"/>
      </w:pPr>
      <w:r>
        <w:t>Weakly informative priors were specified for all model parameters to regularize estimation while remaining minimally restrictive. Fixed effects were assigned zero-centered normal priors. Standard deviations of random effects were assigned exponential priors to constrain variance parameters to positive values while discouraging unrealistically large estimates. Correlation matrices among random effects were assigned LKJ priors to provide weak regularization of covariance structures.All models were fitted usin</w:t>
      </w:r>
      <w:r>
        <w:t xml:space="preserve">g Markov chain Monte Carlo (MCMC) </w:t>
      </w:r>
      <w:r>
        <w:lastRenderedPageBreak/>
        <w:t>sampling with four independent chains and 4,000 iterations to ensure adequate posterior exploration. Convergence was evaluated using the potential scale reduction factor (</w:t>
      </w:r>
      <m:oMath>
        <m:acc>
          <m:accPr>
            <m:ctrlPr>
              <w:rPr>
                <w:rFonts w:ascii="Cambria Math" w:hAnsi="Cambria Math"/>
              </w:rPr>
            </m:ctrlPr>
          </m:accPr>
          <m:e>
            <m:r>
              <w:rPr>
                <w:rFonts w:ascii="Cambria Math" w:hAnsi="Cambria Math"/>
              </w:rPr>
              <m:t>R</m:t>
            </m:r>
          </m:e>
        </m:acc>
      </m:oMath>
      <w:r>
        <w:t xml:space="preserve"> = 1.00), effective sample sizes (bulk and tail ESS), and visual inspection of trace plots. All reported parameters satisfied standard convergence criteria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1.00</m:t>
        </m:r>
      </m:oMath>
      <w:r>
        <w:t>). Parameter estimates are presented as posterior means with 95% credible intervals derived from the posterior distributions. Inference was based on CrIs that did not include zero.</w:t>
      </w:r>
    </w:p>
    <w:p w14:paraId="0220C145" w14:textId="77777777" w:rsidR="00772076" w:rsidRDefault="00F103E3">
      <w:pPr>
        <w:pStyle w:val="BodyText"/>
      </w:pPr>
      <w:r>
        <w:t>I examined whether the first and second clutches of eggs differed in egg size variation among (</w:t>
      </w:r>
      <w:r>
        <w:rPr>
          <w:i/>
          <w:iCs/>
        </w:rPr>
        <w:t>V</w:t>
      </w:r>
      <w:r>
        <w:rPr>
          <w:vertAlign w:val="subscript"/>
        </w:rPr>
        <w:t>among</w:t>
      </w:r>
      <w:r>
        <w:t>) and within (</w:t>
      </w:r>
      <w:r>
        <w:rPr>
          <w:i/>
          <w:iCs/>
        </w:rPr>
        <w:t>V</w:t>
      </w:r>
      <w:r>
        <w:rPr>
          <w:vertAlign w:val="subscript"/>
        </w:rPr>
        <w:t>within</w:t>
      </w:r>
      <w:r>
        <w:t>)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w:t>
      </w:r>
      <w:r>
        <w:t>d whether the first and second clutch differed in egg size at the among- and within-female levels.</w:t>
      </w:r>
    </w:p>
    <w:p w14:paraId="3DA338B4" w14:textId="77777777" w:rsidR="00772076" w:rsidRDefault="00F103E3">
      <w:pPr>
        <w:pStyle w:val="Heading1"/>
      </w:pPr>
      <w:bookmarkStart w:id="10" w:name="results"/>
      <w:bookmarkEnd w:id="2"/>
      <w:bookmarkEnd w:id="9"/>
      <w:r>
        <w:t>Results</w:t>
      </w:r>
    </w:p>
    <w:p w14:paraId="39C32164" w14:textId="77777777" w:rsidR="00772076" w:rsidRDefault="00F103E3">
      <w:pPr>
        <w:pStyle w:val="FirstParagraph"/>
      </w:pPr>
      <w:r>
        <w:t>Results Effect of clutch order on egg size and number Both egg number and egg size declined in the second clutch. In the multivariate Gaussian–Poisson model, egg size was smaller in clutch two (x̄ ± SE = 3.41 ± 0.03) relative to clutch one (3.54 ± 0.03; β = −0.12, 95% CrI [−0.21, −0.04]). Egg number also declined substantially (clutch one: 51.55 ± 2.49; clutch two: 34.14 ± 2.65; log-scale β = −0.41, 95% CrI [−0.48, −0.34]), corresponding to an approximate 34% reduction on the natural scale (e^(−0.41) ≈ 0.66</w:t>
      </w:r>
      <w:r>
        <w:t xml:space="preserve">). Among-female variation remained detectable </w:t>
      </w:r>
      <w:r>
        <w:lastRenderedPageBreak/>
        <w:t xml:space="preserve">for both egg size (SD = 0.091, 95% CrI [0.009, 0.165]) and egg number (SD = 0.355, 95% CrI [0.273, 0.460]), indicating persistent heterogeneity among females across broods. Correlations between egg number and egg size Across all observations, the raw Pearson correlation between egg number and egg size was weak and close to zero (r_raw = −0.04, 95% CI [−0.25, 0.19]), suggesting no clear phenotypic association when hierarchical structure was ignored. In contrast, </w:t>
      </w:r>
      <w:r>
        <w:t>the between-female Pearson correlation calculated from female means was moderate and negative (r_between = −0.31, 95% CI [−0.55, −0.02]). Females that produced more eggs on average tended to lay smaller eggs. The multivariate Gaussian model partitioned covariation into among-female and residual components. After accounting for female identity, the residual (within-female) correlation between egg number and egg size was effectively zero and highly uncertain (r_within = 0.0025, 95% CrI [−0.86, 0.85]). Thus, a</w:t>
      </w:r>
      <w:r>
        <w:t>pparent phenotypic independence masked a moderate negative association among females but no detectable clutch-level trade-off within females. Within–between mixed-effects models In the within–between mixed-effects model, egg size varied among females (random-intercept SD = 0.07, 95% CrI [0.00, 0.14]). The within-female effect of egg number on egg size was small and uncertain (β_W = 0.0027, 95% CrI [−0.0006, 0.0057]). On the natural scale, this corresponds to an increase of approximately 0.027 units in egg s</w:t>
      </w:r>
      <w:r>
        <w:t>ize for every additional 10 eggs within a female—an effect that was not credibly different from zero. In contrast, the between-female effect was negative (β_B = −0.0038, 95% CrI [−0.0076, 0.0000]). Females differing by 10 eggs in mean clutch size differed by approximately 0.038 units in egg size. Although the credible interval extended to zero, the posterior distribution was predominantly negative, consistent with a modest among-female trade-off. Standardized coefficients reinforced the difference in magnit</w:t>
      </w:r>
      <w:r>
        <w:t xml:space="preserve">ude between hierarchical levels. </w:t>
      </w:r>
      <w:r>
        <w:lastRenderedPageBreak/>
        <w:t>The standardized within-female effect was positive but uncertain (β_W,standardized = 0.17, 95% CrI [−0.04, 0.36]), whereas the standardized between-female effect was negative and its credible interval did not overlap zero (β_B,standardized = −0.23, 95% CrI [−0.452, −0.002]). Thus, the negative association was stronger and more consistent among females than within females. Allowing within-female slopes to vary among females produced similar fixed-effect estimates (β_W = 0.003</w:t>
      </w:r>
      <w:r>
        <w:t>4, 95% CrI [−0.0004, 0.0076]; β_B = −0.0041, 95% CrI [−0.0082, −0.0002]). Variation in within-female slopes was small (SD = 0.0046, 95% CrI [0.0003, 0.0110]), and the intercept–slope correlation was highly uncertain (r = 0.20, 95% CrI [−0.67, 0.85]), indicating no strong evidence that females differed substantially in plastic allocation patterns. Because both egg number and egg size declined across clutches, clutch order was included as an additional fixed effect to test whether it explained the weak positi</w:t>
      </w:r>
      <w:r>
        <w:t>ve within-female slope. When clutch order was accounted for, the within-female effect collapsed to zero (β_W = −0.0004, 95% CrI [−0.0045, 0.0035]). Thus, there was no evidence that females plastically traded egg number against egg size within clutches; the apparent association in the initial model was entirely explained by parallel declines from clutch one to clutch two. Summary Overall, egg size and egg number declined substantially between clutches. Persistent differences among females generated a moderat</w:t>
      </w:r>
      <w:r>
        <w: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p w14:paraId="0DE4BC18" w14:textId="77777777" w:rsidR="00772076" w:rsidRDefault="00F103E3">
      <w:pPr>
        <w:pStyle w:val="Heading1"/>
      </w:pPr>
      <w:bookmarkStart w:id="11" w:name="X2adf980c3cdf557e751ed69a8410e917bd83bb9"/>
      <w:bookmarkEnd w:id="10"/>
      <w:r>
        <w:lastRenderedPageBreak/>
        <w:t>Effect of clutch order on egg size and number</w:t>
      </w:r>
    </w:p>
    <w:p w14:paraId="1B109221" w14:textId="77777777" w:rsidR="00772076" w:rsidRDefault="00F103E3">
      <w:pPr>
        <w:pStyle w:val="FirstParagraph"/>
      </w:pPr>
      <w:r>
        <w:t>Both egg number and egg size declined in the second clutch. In the multivariate Gaussian–Poisson model, egg size was smaller in clutch two (</w:t>
      </w:r>
      <m:oMath>
        <m:acc>
          <m:accPr>
            <m:chr m:val="‾"/>
            <m:ctrlPr>
              <w:rPr>
                <w:rFonts w:ascii="Cambria Math" w:hAnsi="Cambria Math"/>
              </w:rPr>
            </m:ctrlPr>
          </m:accPr>
          <m:e>
            <m:r>
              <w:rPr>
                <w:rFonts w:ascii="Cambria Math" w:hAnsi="Cambria Math"/>
              </w:rPr>
              <m:t>x</m:t>
            </m:r>
          </m:e>
        </m:acc>
      </m:oMath>
      <w:r>
        <w:t xml:space="preserve"> ± SE = 3.41 ± 0.03) relative to clutch one (</w:t>
      </w:r>
      <m:oMath>
        <m:acc>
          <m:accPr>
            <m:chr m:val="‾"/>
            <m:ctrlPr>
              <w:rPr>
                <w:rFonts w:ascii="Cambria Math" w:hAnsi="Cambria Math"/>
              </w:rPr>
            </m:ctrlPr>
          </m:accPr>
          <m:e>
            <m:r>
              <w:rPr>
                <w:rFonts w:ascii="Cambria Math" w:hAnsi="Cambria Math"/>
              </w:rPr>
              <m:t>x</m:t>
            </m:r>
          </m:e>
        </m:acc>
      </m:oMath>
      <w:r>
        <w:t xml:space="preserve"> = 3.54 ± 0.03; </w:t>
      </w:r>
      <m:oMath>
        <m:r>
          <w:rPr>
            <w:rFonts w:ascii="Cambria Math" w:hAnsi="Cambria Math"/>
          </w:rPr>
          <m:t>β</m:t>
        </m:r>
      </m:oMath>
      <w:r>
        <w:t xml:space="preserve"> = -0.12, 95% CrI (-0.21, -0.04). Egg number also declined significantly (clutch one: </w:t>
      </w:r>
      <m:oMath>
        <m:acc>
          <m:accPr>
            <m:chr m:val="‾"/>
            <m:ctrlPr>
              <w:rPr>
                <w:rFonts w:ascii="Cambria Math" w:hAnsi="Cambria Math"/>
              </w:rPr>
            </m:ctrlPr>
          </m:accPr>
          <m:e>
            <m:r>
              <w:rPr>
                <w:rFonts w:ascii="Cambria Math" w:hAnsi="Cambria Math"/>
              </w:rPr>
              <m:t>x</m:t>
            </m:r>
          </m:e>
        </m:acc>
      </m:oMath>
      <w:r>
        <w:t xml:space="preserve"> = 51.55 ± 2.49; clutch two: </w:t>
      </w:r>
      <m:oMath>
        <m:acc>
          <m:accPr>
            <m:chr m:val="‾"/>
            <m:ctrlPr>
              <w:rPr>
                <w:rFonts w:ascii="Cambria Math" w:hAnsi="Cambria Math"/>
              </w:rPr>
            </m:ctrlPr>
          </m:accPr>
          <m:e>
            <m:r>
              <w:rPr>
                <w:rFonts w:ascii="Cambria Math" w:hAnsi="Cambria Math"/>
              </w:rPr>
              <m:t>x</m:t>
            </m:r>
          </m:e>
        </m:acc>
      </m:oMath>
      <w:r>
        <w:t xml:space="preserve"> = 34.14 ± 2.65; log-scale </w:t>
      </w:r>
      <m:oMath>
        <m:r>
          <w:rPr>
            <w:rFonts w:ascii="Cambria Math" w:hAnsi="Cambria Math"/>
          </w:rPr>
          <m:t>β</m:t>
        </m:r>
      </m:oMath>
      <w:r>
        <w:t xml:space="preserve"> = -0.41, 95% CrI (-0.48, -0.34)),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0.410</m:t>
            </m:r>
          </m:sup>
        </m:sSup>
        <m:r>
          <m:rPr>
            <m:sty m:val="p"/>
          </m:rPr>
          <w:rPr>
            <w:rFonts w:ascii="Cambria Math" w:hAnsi="Cambria Math"/>
          </w:rPr>
          <m:t>≈</m:t>
        </m:r>
        <m:r>
          <w:rPr>
            <w:rFonts w:ascii="Cambria Math" w:hAnsi="Cambria Math"/>
          </w:rPr>
          <m:t>0.66</m:t>
        </m:r>
      </m:oMath>
      <w:r>
        <w:t>). Among-female variation remained detectable for both egg size (SD = 0.091, 95% CrI [0.009, 0.165]) and egg number (SD = 0.355, 95% CrI [0.273, 0.460]), indicating persistent heterogeneity across broods.</w:t>
      </w:r>
    </w:p>
    <w:p w14:paraId="65C2B24F" w14:textId="77777777" w:rsidR="00772076" w:rsidRDefault="00F103E3">
      <w:pPr>
        <w:pStyle w:val="Heading1"/>
      </w:pPr>
      <w:bookmarkStart w:id="12" w:name="correlations"/>
      <w:bookmarkEnd w:id="11"/>
      <w:r>
        <w:t>Correlations</w:t>
      </w:r>
    </w:p>
    <w:p w14:paraId="793F74FC" w14:textId="77777777" w:rsidR="00772076" w:rsidRDefault="00F103E3">
      <w:pPr>
        <w:pStyle w:val="FirstParagraph"/>
      </w:pPr>
      <w:r>
        <w:t>Across all observations, the raw Pearson correlation between egg number and egg size was weak and close to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Thus, ignoring hierarchical structure, there was no clear phenotypic association between the two traits. The between-female Pearson correlation calculated using female means was moderate and negative (</w:t>
      </w:r>
      <m:oMath>
        <m:sSub>
          <m:sSubPr>
            <m:ctrlPr>
              <w:rPr>
                <w:rFonts w:ascii="Cambria Math" w:hAnsi="Cambria Math"/>
              </w:rPr>
            </m:ctrlPr>
          </m:sSubPr>
          <m:e>
            <m:r>
              <w:rPr>
                <w:rFonts w:ascii="Cambria Math" w:hAnsi="Cambria Math"/>
              </w:rPr>
              <m:t>r</m:t>
            </m:r>
          </m:e>
          <m:sub>
            <m:r>
              <w:rPr>
                <w:rFonts w:ascii="Cambria Math" w:hAnsi="Cambria Math"/>
              </w:rPr>
              <m:t>between</m:t>
            </m:r>
          </m:sub>
        </m:sSub>
      </m:oMath>
      <w:r>
        <w:t xml:space="preserve"> = -0.31, 95% CI [-0.55, -0.02]). Females that produced more eggs on average tended to lay smaller eggs. The multivariate Gaussian model partitioned covariation into among-female and residual components. After accounting for female identity, the residual correlation between egg number and egg size was effectively zero and highly uncertain (</w:t>
      </w:r>
      <m:oMath>
        <m:sSub>
          <m:sSubPr>
            <m:ctrlPr>
              <w:rPr>
                <w:rFonts w:ascii="Cambria Math" w:hAnsi="Cambria Math"/>
              </w:rPr>
            </m:ctrlPr>
          </m:sSubPr>
          <m:e>
            <m:r>
              <w:rPr>
                <w:rFonts w:ascii="Cambria Math" w:hAnsi="Cambria Math"/>
              </w:rPr>
              <m:t>r</m:t>
            </m:r>
          </m:e>
          <m:sub>
            <m:r>
              <w:rPr>
                <w:rFonts w:ascii="Cambria Math" w:hAnsi="Cambria Math"/>
              </w:rPr>
              <m:t>wit</m:t>
            </m:r>
            <m:r>
              <w:rPr>
                <w:rFonts w:ascii="Cambria Math" w:hAnsi="Cambria Math"/>
              </w:rPr>
              <m:t>h</m:t>
            </m:r>
            <m:r>
              <w:rPr>
                <w:rFonts w:ascii="Cambria Math" w:hAnsi="Cambria Math"/>
              </w:rPr>
              <m:t>in</m:t>
            </m:r>
          </m:sub>
        </m:sSub>
      </m:oMath>
      <w:r>
        <w:t xml:space="preserve"> = 0.0025, 95% CI [-0.86, 0.85]). This indicates no evidence for consistent clutch-level covariation beyond hierarchical structure.</w:t>
      </w:r>
    </w:p>
    <w:p w14:paraId="1277E428" w14:textId="77777777" w:rsidR="00772076" w:rsidRDefault="00F103E3">
      <w:pPr>
        <w:pStyle w:val="Heading1"/>
      </w:pPr>
      <w:bookmarkStart w:id="13" w:name="withinbetween-fixed-effects-models"/>
      <w:bookmarkEnd w:id="12"/>
      <w:r>
        <w:lastRenderedPageBreak/>
        <w:t>Within–between fixed-effects models</w:t>
      </w:r>
    </w:p>
    <w:p w14:paraId="1C7888B5" w14:textId="77777777" w:rsidR="00772076" w:rsidRDefault="00F103E3">
      <w:pPr>
        <w:pStyle w:val="FirstParagraph"/>
      </w:pPr>
      <w:r>
        <w:t>In the within–between mixed-effects model, egg size varied among females (random-intercept SD = 0.07, 95% CrI [0.00, 0.14]). The within-female effect of egg number on egg size was small and uncertain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0.0027, 95% CrI [-0.0006, 0.0057]). In contrast, the between-female effect was negative and its credible interval narrowly excluded zero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-0.0038, 95% CrI [-0.0076, 0.0000]). Allowing within-female slopes to vary among females produced similar fixed-effect estimates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0.0034, 95% CrI [-0.0004, 0.0076];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-0.0041, 95% CrI [-0.0082, -0.0002]). The variance in within-female slopes was small (SD = 0.0046, 95% CrI [0.0003, 0.0110]), and the intercept–slope correlation was highly uncertain (</w:t>
      </w:r>
      <w:r>
        <w:rPr>
          <w:i/>
          <w:iCs/>
        </w:rPr>
        <w:t>r</w:t>
      </w:r>
      <w:r>
        <w:t xml:space="preserve"> = 0.20, 95% CrI [-0.67, 0.85]).</w:t>
      </w:r>
    </w:p>
    <w:p w14:paraId="572147BE" w14:textId="77777777" w:rsidR="00772076" w:rsidRDefault="00F103E3">
      <w:pPr>
        <w:pStyle w:val="BodyText"/>
      </w:pPr>
      <w:r>
        <w:t>Standardized coefficients confirmed the difference in magnitude between hierarchical levels. The standardized within-female effect was positive but uncertain (</w:t>
      </w:r>
      <m:oMath>
        <m:sSub>
          <m:sSubPr>
            <m:ctrlPr>
              <w:rPr>
                <w:rFonts w:ascii="Cambria Math" w:hAnsi="Cambria Math"/>
              </w:rPr>
            </m:ctrlPr>
          </m:sSubPr>
          <m:e>
            <m:r>
              <w:rPr>
                <w:rFonts w:ascii="Cambria Math" w:hAnsi="Cambria Math"/>
              </w:rPr>
              <m:t>β</m:t>
            </m:r>
          </m:e>
          <m:sub>
            <m:r>
              <w:rPr>
                <w:rFonts w:ascii="Cambria Math" w:hAnsi="Cambria Math"/>
              </w:rPr>
              <m:t>Wstandardized</m:t>
            </m:r>
          </m:sub>
        </m:sSub>
      </m:oMath>
      <w:r>
        <w:t xml:space="preserve"> = 0.17, 95% CrI [-0.04, 0.36]). The standardized between-female effect was negative and did not overlap zero (</w:t>
      </w:r>
      <m:oMath>
        <m:sSub>
          <m:sSubPr>
            <m:ctrlPr>
              <w:rPr>
                <w:rFonts w:ascii="Cambria Math" w:hAnsi="Cambria Math"/>
              </w:rPr>
            </m:ctrlPr>
          </m:sSubPr>
          <m:e>
            <m:r>
              <w:rPr>
                <w:rFonts w:ascii="Cambria Math" w:hAnsi="Cambria Math"/>
              </w:rPr>
              <m:t>β</m:t>
            </m:r>
          </m:e>
          <m:sub>
            <m:r>
              <w:rPr>
                <w:rFonts w:ascii="Cambria Math" w:hAnsi="Cambria Math"/>
              </w:rPr>
              <m:t>Bstandardized</m:t>
            </m:r>
          </m:sub>
        </m:sSub>
      </m:oMath>
      <w:r>
        <w:t xml:space="preserve"> = -0.23, 95% CrI [-0.452, -0.002]). Thus, the negative association was stronger and more consistent among females than within females, a finding that supports the between-female Pearson correlation.</w:t>
      </w:r>
    </w:p>
    <w:p w14:paraId="32CA2282" w14:textId="77777777" w:rsidR="00772076" w:rsidRDefault="00F103E3">
      <w:pPr>
        <w:pStyle w:val="BodyText"/>
      </w:pPr>
      <w:r>
        <w:t>Because both egg number and egg size declined across clutches, I evaluated whether clutch order explained the within-female association. When clutch-order was included as a fixed effect, the within-female slope collapsed to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-0.0004, 95% CrI [-0.0045, 0.0035]). This indicates that the small positive within-female association observed in the initial model was driven by parallel clutch-order declines in both traits rather than plastic allocation within females.</w:t>
      </w:r>
    </w:p>
    <w:p w14:paraId="0F9AB0F1" w14:textId="77777777" w:rsidR="00772076" w:rsidRDefault="00F103E3">
      <w:pPr>
        <w:pStyle w:val="Heading1"/>
      </w:pPr>
      <w:bookmarkStart w:id="14" w:name="discussion"/>
      <w:bookmarkEnd w:id="13"/>
      <w:r>
        <w:lastRenderedPageBreak/>
        <w:t>Discussion</w:t>
      </w:r>
    </w:p>
    <w:p w14:paraId="3C82CD9D" w14:textId="77777777" w:rsidR="00772076" w:rsidRDefault="00F103E3">
      <w:pPr>
        <w:pStyle w:val="FirstParagraph"/>
      </w:pPr>
      <w:r>
        <w:t>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w:t>
      </w:r>
      <w:r>
        <w:t xml:space="preserve"> prediction that egg number 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 </w:t>
      </w:r>
      <w:r>
        <w:rPr>
          <w:i/>
          <w:iCs/>
        </w:rPr>
        <w:t>F. auricularia</w:t>
      </w:r>
      <w:r>
        <w:t>,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 (Simpson 1951) and spurious correlations because within-individual relationships are masked by among-individual variation. Indeed, I also observed a negative, albeit weake</w:t>
      </w:r>
      <w:r>
        <w:t>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14:paraId="0116E57E" w14:textId="77777777" w:rsidR="00772076" w:rsidRDefault="00F103E3">
      <w:pPr>
        <w:pStyle w:val="BodyText"/>
      </w:pPr>
      <w:r>
        <w:t xml:space="preserve">My study revealed that second clutches comprised, on average, fewer and smaller eggs than first clutches, which can be explained at both the proximate and ultimate levels of causation. My </w:t>
      </w:r>
      <w:r>
        <w:lastRenderedPageBreak/>
        <w:t xml:space="preserve">findings are consistent with those of another study on a Montreal population (Tourneur and Gingras 1992) and with one involving an Italian population (Koch and Meunier 2014). Tourneur and Gingras (1992) proximally attributed the fewer, smaller eggs in second clutches to ovarian structure and function in </w:t>
      </w:r>
      <w:r>
        <w:rPr>
          <w:i/>
          <w:iCs/>
        </w:rPr>
        <w:t>F. auricularia</w:t>
      </w:r>
      <w:r>
        <w:t>. Specifically, they suggested that second clutches are smaller than first ones because some (or all) oviarioles become non-functional and thus produce no eggs after the first clutch. This redu</w:t>
      </w:r>
      <w:r>
        <w:t>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w:t>
      </w:r>
      <w:r>
        <w:t>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14:paraId="666EC400" w14:textId="77777777" w:rsidR="00772076" w:rsidRDefault="00F103E3">
      <w:pPr>
        <w:pStyle w:val="BodyText"/>
      </w:pPr>
      <w:r>
        <w:t>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w:t>
      </w:r>
      <w:r>
        <w:t xml:space="preserve"> and to produce larger nymphs in </w:t>
      </w:r>
      <w:r>
        <w:rPr>
          <w:i/>
          <w:iCs/>
        </w:rPr>
        <w:t>F. auricularia</w:t>
      </w:r>
      <w:r>
        <w:t xml:space="preserve"> (Koch </w:t>
      </w:r>
      <w:r>
        <w:lastRenderedPageBreak/>
        <w:t xml:space="preserve">and Meunier 2014), so egg size appears to ultimately have some positive fitness effects for the mother and offspring in this species. Therefore, the smaller earwig eggs in the second clutch by female </w:t>
      </w:r>
      <w:r>
        <w:rPr>
          <w:i/>
          <w:iCs/>
        </w:rPr>
        <w:t>F. auricularia</w:t>
      </w:r>
      <w:r>
        <w:t xml:space="preserve"> might have reduced fitness, except for two extenuating factors. First, maternal care in this species likely improves the survival chances of smaller eggs (Kölliker 2007; e.g., Boos et al. 2014), and the poor outcomes commonly associated with s</w:t>
      </w:r>
      <w:r>
        <w:t>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w:t>
      </w:r>
      <w:r>
        <w:t xml:space="preserve">at time-to-hatch is unrelated to egg mass in at least one (Italian) population of </w:t>
      </w:r>
      <w:r>
        <w:rPr>
          <w:i/>
          <w:iCs/>
        </w:rPr>
        <w:t>F. auricularia</w:t>
      </w:r>
      <w:r>
        <w:t xml:space="preserve"> (Koch and Meunier 2014).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w:t>
      </w:r>
      <w:r>
        <w:t>rce allocation may exceed variance in resource acquisition in this population of earwigs (see Careau and Wilson 2017). In other words, some female earwigs in my study population might prioritise investment in egg number versus egg size and vice versa. Taken together, my results resemble Careau and Wilson’s (2017) “sink or swim” scenario, which is generally reserved for performance trade-offs. That is, females in my population of earwigs might ultimately produce an among-female (albeit weak) trade-off due to</w:t>
      </w:r>
      <w:r>
        <w:t xml:space="preserve"> differences among females in how they allocate resources to clutch and egg size, with some </w:t>
      </w:r>
      <w:r>
        <w:lastRenderedPageBreak/>
        <w:t>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14:paraId="42621ACE" w14:textId="77777777" w:rsidR="00772076" w:rsidRDefault="00F103E3">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t>Lobesia botrana</w:t>
      </w:r>
      <w:r>
        <w:t xml:space="preserve"> moths (Torres-Vila et al. 2012), and spruce budworm (</w:t>
      </w:r>
      <w:r>
        <w:rPr>
          <w:i/>
          <w:iCs/>
        </w:rPr>
        <w:t>Choristoneura fumiferana</w:t>
      </w:r>
      <w:r>
        <w:t>) (Harvey 1983). Moreover, the lack of between-female variation in average egg size between first and second clutches suggests that the food-acquisition environment (i.e. wild vs. lab) had little effect on average egg size.</w:t>
      </w:r>
    </w:p>
    <w:p w14:paraId="48AB17DE" w14:textId="77777777" w:rsidR="00772076" w:rsidRDefault="00F103E3">
      <w:pPr>
        <w:pStyle w:val="BodyText"/>
      </w:pPr>
      <w:r>
        <w:t>In contrast, I found evidence that variation in egg size within a clutch was greater in second clutches than in first clutches, the opposite of the pattern observed in birds. (e.g., Yosef and Zduniak 2008).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(Yosef and Zduniak 2008), collared flycatchers (</w:t>
      </w:r>
      <w:r>
        <w:rPr>
          <w:i/>
          <w:iCs/>
        </w:rPr>
        <w:t>Ficedula albicollis</w:t>
      </w:r>
      <w:r>
        <w:t>) produced larger eggs with the laying sequence in favourable conditions (Hargitai et al. 2005), and blue tits (</w:t>
      </w:r>
      <w:r>
        <w:rPr>
          <w:i/>
          <w:iCs/>
        </w:rPr>
        <w:t>Paris caeruleus</w:t>
      </w:r>
      <w:r>
        <w:t xml:space="preserve">) in better nutritional condition had clutches with less variation in egg size (Nilsson and Svensson </w:t>
      </w:r>
      <w:r>
        <w:lastRenderedPageBreak/>
        <w:t>1993). Although information on intraclutch egg-size variation and its proximal drivers is scarce in insects, the same principl</w:t>
      </w:r>
      <w:r>
        <w:t>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w:t>
      </w:r>
      <w:r>
        <w:t>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w:t>
      </w:r>
      <w:r>
        <w:t>hereas smaller eggs later in the laying sequence may be a brood-reduction strategy (Slagsvold et al. 1984). However, it is unknown whether variation in egg size has an equivalent adaptive function in insects expressing maternal care.</w:t>
      </w:r>
    </w:p>
    <w:p w14:paraId="66BF80FA" w14:textId="77777777" w:rsidR="00772076" w:rsidRDefault="00F103E3">
      <w:pPr>
        <w:pStyle w:val="BodyText"/>
      </w:pPr>
      <w:r>
        <w:t>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p w14:paraId="5BC3F526" w14:textId="77777777" w:rsidR="00772076" w:rsidRDefault="00F103E3">
      <w:pPr>
        <w:pStyle w:val="Heading1"/>
      </w:pPr>
      <w:bookmarkStart w:id="15" w:name="data-availability"/>
      <w:bookmarkEnd w:id="14"/>
      <w:r>
        <w:lastRenderedPageBreak/>
        <w:t>Data availability</w:t>
      </w:r>
    </w:p>
    <w:p w14:paraId="07A09617" w14:textId="77777777" w:rsidR="00772076" w:rsidRDefault="00F103E3">
      <w:pPr>
        <w:pStyle w:val="FirstParagraph"/>
      </w:pPr>
      <w:r>
        <w:t>Data are available through the OSF repository at 10.17605/OSF.IO/KWCS8.</w:t>
      </w:r>
    </w:p>
    <w:p w14:paraId="36AA9752" w14:textId="77777777" w:rsidR="00772076" w:rsidRDefault="00F103E3">
      <w:pPr>
        <w:pStyle w:val="Heading1"/>
      </w:pPr>
      <w:bookmarkStart w:id="16" w:name="author-contributions"/>
      <w:bookmarkEnd w:id="15"/>
      <w:r>
        <w:t>Author contributions</w:t>
      </w:r>
    </w:p>
    <w:p w14:paraId="497BE9A6" w14:textId="77777777" w:rsidR="00772076" w:rsidRDefault="00F103E3">
      <w:pPr>
        <w:pStyle w:val="FirstParagraph"/>
      </w:pPr>
      <w:r>
        <w:t>CDK collected and analyzed the data, and wrote the manuscript.</w:t>
      </w:r>
    </w:p>
    <w:p w14:paraId="31BF5C5F" w14:textId="77777777" w:rsidR="00772076" w:rsidRDefault="00F103E3">
      <w:pPr>
        <w:pStyle w:val="Heading1"/>
      </w:pPr>
      <w:bookmarkStart w:id="17" w:name="funding"/>
      <w:bookmarkEnd w:id="16"/>
      <w:r>
        <w:t>Funding</w:t>
      </w:r>
    </w:p>
    <w:p w14:paraId="154784E7" w14:textId="77777777" w:rsidR="00772076" w:rsidRDefault="00F103E3">
      <w:pPr>
        <w:pStyle w:val="FirstParagraph"/>
      </w:pPr>
      <w:r>
        <w:t>The study was funded by a Discovery Grant from the Natural Sciences and Engineering Research Council of Canada (NSERC).</w:t>
      </w:r>
    </w:p>
    <w:p w14:paraId="73C243F8" w14:textId="77777777" w:rsidR="00772076" w:rsidRDefault="00F103E3">
      <w:pPr>
        <w:pStyle w:val="Heading1"/>
      </w:pPr>
      <w:bookmarkStart w:id="18" w:name="conflict-of-interest"/>
      <w:bookmarkEnd w:id="17"/>
      <w:r>
        <w:t>Conflict of Interest</w:t>
      </w:r>
    </w:p>
    <w:p w14:paraId="7EB667D1" w14:textId="77777777" w:rsidR="00772076" w:rsidRDefault="00F103E3">
      <w:pPr>
        <w:pStyle w:val="FirstParagraph"/>
      </w:pPr>
      <w:r>
        <w:t>I declare no conflict of interest.</w:t>
      </w:r>
    </w:p>
    <w:p w14:paraId="36B9BE54" w14:textId="77777777" w:rsidR="00772076" w:rsidRDefault="00F103E3">
      <w:pPr>
        <w:pStyle w:val="Heading1"/>
      </w:pPr>
      <w:bookmarkStart w:id="19" w:name="acknowledgements"/>
      <w:bookmarkEnd w:id="18"/>
      <w:r>
        <w:t>Acknowledgements</w:t>
      </w:r>
    </w:p>
    <w:p w14:paraId="0EC76AAB" w14:textId="77777777" w:rsidR="00772076" w:rsidRDefault="00F103E3">
      <w:pPr>
        <w:pStyle w:val="FirstParagraph"/>
      </w:pPr>
      <w:r>
        <w:t>I thank Andréanne Nault and Clara Smythe for assistance in animal care and data collection.</w:t>
      </w:r>
    </w:p>
    <w:p w14:paraId="1353E6E9" w14:textId="77777777" w:rsidR="00772076" w:rsidRDefault="00F103E3">
      <w:r>
        <w:br w:type="page"/>
      </w:r>
    </w:p>
    <w:p w14:paraId="14CE2262" w14:textId="77777777" w:rsidR="00772076" w:rsidRDefault="00F103E3">
      <w:pPr>
        <w:pStyle w:val="Heading1"/>
      </w:pPr>
      <w:bookmarkStart w:id="20" w:name="references"/>
      <w:bookmarkEnd w:id="19"/>
      <w:r>
        <w:lastRenderedPageBreak/>
        <w:t>References</w:t>
      </w:r>
    </w:p>
    <w:p w14:paraId="4309C3BF" w14:textId="77777777" w:rsidR="00772076" w:rsidRDefault="00F103E3">
      <w:pPr>
        <w:pStyle w:val="Bibliography"/>
      </w:pPr>
      <w:bookmarkStart w:id="21" w:name="ref-bernardo1996"/>
      <w:bookmarkStart w:id="22" w:name="refs"/>
      <w:r>
        <w:t>Bernardo, J. 1996. The particular maternal effect of propagule size, especially egg size: Patterns, models, quality of evidence and interpretations. Am Zool 36:216–236.</w:t>
      </w:r>
    </w:p>
    <w:p w14:paraId="68A74E6D" w14:textId="77777777" w:rsidR="00772076" w:rsidRDefault="00F103E3">
      <w:pPr>
        <w:pStyle w:val="Bibliography"/>
      </w:pPr>
      <w:bookmarkStart w:id="23" w:name="ref-boos2014"/>
      <w:bookmarkEnd w:id="21"/>
      <w:r>
        <w:t>Boos, S., J. Meunier, S. Pichon, and M. Kölliker. 2014. Maternal care provides antifungal protection to eggs in the european earwig. Behav Ecol 25:754–761.</w:t>
      </w:r>
    </w:p>
    <w:p w14:paraId="757895D8" w14:textId="77777777" w:rsidR="00772076" w:rsidRDefault="00F103E3">
      <w:pPr>
        <w:pStyle w:val="Bibliography"/>
      </w:pPr>
      <w:bookmarkStart w:id="24" w:name="ref-careau2017"/>
      <w:bookmarkEnd w:id="23"/>
      <w:r>
        <w:t>Careau, V., and R. Wilson. 2017. Of uberfleas and krakens: Detecting trade-offs using mixed models. Integr Comp Biol 57:362–371.</w:t>
      </w:r>
    </w:p>
    <w:p w14:paraId="2E196F0A" w14:textId="77777777" w:rsidR="00772076" w:rsidRDefault="00F103E3">
      <w:pPr>
        <w:pStyle w:val="Bibliography"/>
      </w:pPr>
      <w:bookmarkStart w:id="25" w:name="ref-cavaleiro2014"/>
      <w:bookmarkEnd w:id="24"/>
      <w:r>
        <w:t>Cavaleiro, F. I., and M. J. Santos. 2014. Egg number-egg size: An important trade-off in parasite life history strategies. Int J Parasitol 44:173–182.</w:t>
      </w:r>
    </w:p>
    <w:p w14:paraId="20C597F2" w14:textId="77777777" w:rsidR="00772076" w:rsidRDefault="00F103E3">
      <w:pPr>
        <w:pStyle w:val="Bibliography"/>
      </w:pPr>
      <w:bookmarkStart w:id="26" w:name="ref-church2019"/>
      <w:bookmarkEnd w:id="25"/>
      <w:r>
        <w:t>Church, S. H., S. Donoughe, B. A. S. de Medeiros, and C. G. Extavour. 2019. Insect egg size and shape evolve with ecology but not developmental rate. Nature 571:58–62.</w:t>
      </w:r>
    </w:p>
    <w:p w14:paraId="5762D310" w14:textId="77777777" w:rsidR="00772076" w:rsidRDefault="00F103E3">
      <w:pPr>
        <w:pStyle w:val="Bibliography"/>
      </w:pPr>
      <w:bookmarkStart w:id="27" w:name="ref-clutton-brock1984"/>
      <w:bookmarkEnd w:id="26"/>
      <w:r>
        <w:t>Clutton-Brock, T. H. 1984. Reproductive effort and terminal investment in iteroparous animals. Am Nat 123:212–229.</w:t>
      </w:r>
    </w:p>
    <w:p w14:paraId="0547F6D7" w14:textId="77777777" w:rsidR="00772076" w:rsidRDefault="00F103E3">
      <w:pPr>
        <w:pStyle w:val="Bibliography"/>
      </w:pPr>
      <w:bookmarkStart w:id="28" w:name="ref-clutton-brock1991"/>
      <w:bookmarkEnd w:id="27"/>
      <w:r>
        <w:t>Clutton-Brock, T. H. 1991. The Evolution of Parental Care. Princeton University Press.</w:t>
      </w:r>
    </w:p>
    <w:p w14:paraId="34D54A68" w14:textId="77777777" w:rsidR="00772076" w:rsidRDefault="00F103E3">
      <w:pPr>
        <w:pStyle w:val="Bibliography"/>
      </w:pPr>
      <w:bookmarkStart w:id="29" w:name="ref-einum2000"/>
      <w:bookmarkEnd w:id="28"/>
      <w:r>
        <w:t>Einum, S., and I. A. Fleming. 2000. Highly fecund mothers sacrifice offspring survival to maximize fitness. Nature 405:565–567.</w:t>
      </w:r>
    </w:p>
    <w:p w14:paraId="75944960" w14:textId="77777777" w:rsidR="00772076" w:rsidRDefault="00F103E3">
      <w:pPr>
        <w:pStyle w:val="Bibliography"/>
      </w:pPr>
      <w:bookmarkStart w:id="30" w:name="ref-falconer1996"/>
      <w:bookmarkEnd w:id="29"/>
      <w:r>
        <w:t>Falconer, D. S., and T. F. C. MacKay. 1996. An Introduction Quantitative Genetics. Pearson Education Limited, Essex, England.</w:t>
      </w:r>
    </w:p>
    <w:p w14:paraId="54CFE0A9" w14:textId="77777777" w:rsidR="00772076" w:rsidRDefault="00F103E3">
      <w:pPr>
        <w:pStyle w:val="Bibliography"/>
      </w:pPr>
      <w:bookmarkStart w:id="31" w:name="ref-ficetola2009"/>
      <w:bookmarkEnd w:id="30"/>
      <w:r>
        <w:t>Ficetola, G. F., and F. De Bernardi. 2009. Offspring size and survival in the frog rana latastei: From among-population to within-clutch variation. Biol J Linn Soc 97:845–853.</w:t>
      </w:r>
    </w:p>
    <w:p w14:paraId="45EA85BE" w14:textId="77777777" w:rsidR="00772076" w:rsidRDefault="00F103E3">
      <w:pPr>
        <w:pStyle w:val="Bibliography"/>
      </w:pPr>
      <w:bookmarkStart w:id="32" w:name="ref-fox2000"/>
      <w:bookmarkEnd w:id="31"/>
      <w:r>
        <w:t>Fox, C. W., and M. E. Czesak. 2000. Evolutionary ecology of progeny size in arthropods. Annu Rev Entomol 45:341–369.</w:t>
      </w:r>
    </w:p>
    <w:p w14:paraId="51199567" w14:textId="77777777" w:rsidR="00772076" w:rsidRDefault="00F103E3">
      <w:pPr>
        <w:pStyle w:val="Bibliography"/>
      </w:pPr>
      <w:bookmarkStart w:id="33" w:name="ref-hargitai2005"/>
      <w:bookmarkEnd w:id="32"/>
      <w:r>
        <w:t>Hargitai, R., J. Török, L. Tóth, G. Hegyi, B. Rosivall, B. Szigeti, and E. Szöllősi. 2005. Effects of environmental conditions and parental quality on inter-and intraclutch egg-size variation in the collared flycatcher (ficedula albicollis). The Auk 122:509–522.</w:t>
      </w:r>
    </w:p>
    <w:p w14:paraId="5D855FEA" w14:textId="77777777" w:rsidR="00772076" w:rsidRDefault="00F103E3">
      <w:pPr>
        <w:pStyle w:val="Bibliography"/>
      </w:pPr>
      <w:bookmarkStart w:id="34" w:name="ref-harvey1983"/>
      <w:bookmarkEnd w:id="33"/>
      <w:r>
        <w:t>Harvey, G. T. 1983. Environmental and genetic effects on mean egg weight in spruce budworm (lepidoptera: tortricidae). The Canadian Entomologist 115:1109–1117.</w:t>
      </w:r>
    </w:p>
    <w:p w14:paraId="60BD897E" w14:textId="77777777" w:rsidR="00772076" w:rsidRDefault="00F103E3">
      <w:pPr>
        <w:pStyle w:val="Bibliography"/>
      </w:pPr>
      <w:bookmarkStart w:id="35" w:name="ref-kelly2014"/>
      <w:bookmarkEnd w:id="34"/>
      <w:r>
        <w:t>Kelly, C. D., B. Tawes, and A. Worthington. 2014. Evaluating indices of body condition in two cricket species. Ecology and Evolution 4:4476–4487.</w:t>
      </w:r>
    </w:p>
    <w:p w14:paraId="62509FC8" w14:textId="77777777" w:rsidR="00772076" w:rsidRDefault="00F103E3">
      <w:pPr>
        <w:pStyle w:val="Bibliography"/>
      </w:pPr>
      <w:bookmarkStart w:id="36" w:name="ref-koch2014"/>
      <w:bookmarkEnd w:id="35"/>
      <w:r>
        <w:t>Koch, L. K., and J. Meunier. 2014. Mother and offspring fitness in an insect with maternal care: Phenotypic trade-offs between egg number, egg mass and egg care. BMC Evol Biol 14:125.</w:t>
      </w:r>
    </w:p>
    <w:p w14:paraId="4A0EA2E8" w14:textId="77777777" w:rsidR="00772076" w:rsidRDefault="00F103E3">
      <w:pPr>
        <w:pStyle w:val="Bibliography"/>
      </w:pPr>
      <w:bookmarkStart w:id="37" w:name="ref-kolliker2007"/>
      <w:bookmarkEnd w:id="36"/>
      <w:r>
        <w:lastRenderedPageBreak/>
        <w:t>Kölliker, M. 2007. Benefits and costs of earwig (forficula auricularia) family life. Behav Ecol Sociobiol 61:1489–1497.</w:t>
      </w:r>
    </w:p>
    <w:p w14:paraId="2E8C83A9" w14:textId="77777777" w:rsidR="00772076" w:rsidRDefault="00F103E3">
      <w:pPr>
        <w:pStyle w:val="Bibliography"/>
      </w:pPr>
      <w:bookmarkStart w:id="38" w:name="ref-meunier2024"/>
      <w:bookmarkEnd w:id="37"/>
      <w:r>
        <w:t>Meunier, J. 2024. The biology and social life of earwigs (dermaptera). Annu Rev Entomol 69:259–276.</w:t>
      </w:r>
    </w:p>
    <w:p w14:paraId="5FA3BB04" w14:textId="77777777" w:rsidR="00772076" w:rsidRDefault="00F103E3">
      <w:pPr>
        <w:pStyle w:val="Bibliography"/>
      </w:pPr>
      <w:bookmarkStart w:id="39" w:name="ref-nelson2004"/>
      <w:bookmarkEnd w:id="38"/>
      <w:r>
        <w:t>Nelson, N. J., M. B. Thompson, S. Pledger, S. N. Keall, and C. H. Daugherty. 2004. Egg mass determines hatchling size, and incubation temperature influences post‐hatching growth, of tuatara sphenodon punctatus. J Zool 263:77–87.</w:t>
      </w:r>
    </w:p>
    <w:p w14:paraId="274A7361" w14:textId="77777777" w:rsidR="00772076" w:rsidRDefault="00F103E3">
      <w:pPr>
        <w:pStyle w:val="Bibliography"/>
      </w:pPr>
      <w:bookmarkStart w:id="40" w:name="ref-nilsson1993"/>
      <w:bookmarkEnd w:id="39"/>
      <w:r>
        <w:t>Nilsson, J. ‐Å., and E. Svensson. 1993. Causes and consequences of egg mass variation between and within blue tit clutches. J Zool 230:469–481.</w:t>
      </w:r>
    </w:p>
    <w:p w14:paraId="6E390B6E" w14:textId="77777777" w:rsidR="00772076" w:rsidRDefault="00F103E3">
      <w:pPr>
        <w:pStyle w:val="Bibliography"/>
      </w:pPr>
      <w:bookmarkStart w:id="41" w:name="ref-parker1982"/>
      <w:bookmarkEnd w:id="40"/>
      <w:r>
        <w:t>Parker, G. A. 1982. Why are there so many tiny sperm? Sperm competition and the maintenance of two sexes. J Theor Biol 96:281–294.</w:t>
      </w:r>
    </w:p>
    <w:p w14:paraId="1D7867D6" w14:textId="77777777" w:rsidR="00772076" w:rsidRDefault="00F103E3">
      <w:pPr>
        <w:pStyle w:val="Bibliography"/>
      </w:pPr>
      <w:bookmarkStart w:id="42" w:name="ref-peig2009"/>
      <w:bookmarkEnd w:id="41"/>
      <w:r>
        <w:t>Peig, J., and A. J. Green. 2009. New perspectives for estimating body condition from mass/length data: The scaled mass index as an alternative method. Oikos 118:1883–1891.</w:t>
      </w:r>
    </w:p>
    <w:p w14:paraId="2F342D5F" w14:textId="77777777" w:rsidR="00772076" w:rsidRDefault="00F103E3">
      <w:pPr>
        <w:pStyle w:val="Bibliography"/>
      </w:pPr>
      <w:bookmarkStart w:id="43" w:name="ref-peig2010"/>
      <w:bookmarkEnd w:id="42"/>
      <w:r>
        <w:t>Peig, J., and A. J. Green. 2010. The paradigm of body condition: A critical reappraisal of current methods based on mass and length. Funct Ecol 24:1323–1332.</w:t>
      </w:r>
    </w:p>
    <w:p w14:paraId="7FBD6AED" w14:textId="77777777" w:rsidR="00772076" w:rsidRDefault="00F103E3">
      <w:pPr>
        <w:pStyle w:val="Bibliography"/>
      </w:pPr>
      <w:bookmarkStart w:id="44" w:name="ref-r2013"/>
      <w:bookmarkEnd w:id="43"/>
      <w:r>
        <w:t>R Core Team. 2025. R: A language and environment for statistical computing. Vienna, Austria.</w:t>
      </w:r>
    </w:p>
    <w:p w14:paraId="20BC0900" w14:textId="77777777" w:rsidR="00772076" w:rsidRDefault="00F103E3">
      <w:pPr>
        <w:pStyle w:val="Bibliography"/>
      </w:pPr>
      <w:bookmarkStart w:id="45" w:name="ref-reznick2000"/>
      <w:bookmarkEnd w:id="44"/>
      <w:r>
        <w:t>Reznick, D., L. Nunney, and A. Tessier. 2000. Big houses, big cars, superfleas and the costs of reproduction. Trends Ecol Evol 15:421–425.</w:t>
      </w:r>
    </w:p>
    <w:p w14:paraId="68B20510" w14:textId="77777777" w:rsidR="00772076" w:rsidRDefault="00F103E3">
      <w:pPr>
        <w:pStyle w:val="Bibliography"/>
      </w:pPr>
      <w:bookmarkStart w:id="46" w:name="ref-roff1992a"/>
      <w:bookmarkEnd w:id="45"/>
      <w:r>
        <w:t>Roff, D. 1992. Evolution of Life Histories: Theory and Analysis. Chapman &amp; Hall, Inc., New York, NY.</w:t>
      </w:r>
    </w:p>
    <w:p w14:paraId="10791C45" w14:textId="77777777" w:rsidR="00772076" w:rsidRDefault="00F103E3">
      <w:pPr>
        <w:pStyle w:val="Bibliography"/>
      </w:pPr>
      <w:bookmarkStart w:id="47" w:name="ref-schindelin2012"/>
      <w:bookmarkEnd w:id="46"/>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113E344C" w14:textId="77777777" w:rsidR="00772076" w:rsidRDefault="00F103E3">
      <w:pPr>
        <w:pStyle w:val="Bibliography"/>
      </w:pPr>
      <w:bookmarkStart w:id="48" w:name="ref-seko2006"/>
      <w:bookmarkEnd w:id="47"/>
      <w:r>
        <w:t>Seko, T., T. Miyatake, S. Fujioka, and F. Nakasuji. 2006. Genetic and environmental sources of egg size, fecundity and body size in the migrant skipper, parnara guttata guttata (lepidoptera: hesperiidae). Popul Ecol 48:225–232.</w:t>
      </w:r>
    </w:p>
    <w:p w14:paraId="1A69080D" w14:textId="77777777" w:rsidR="00772076" w:rsidRDefault="00F103E3">
      <w:pPr>
        <w:pStyle w:val="Bibliography"/>
      </w:pPr>
      <w:bookmarkStart w:id="49" w:name="ref-shine1978"/>
      <w:bookmarkEnd w:id="48"/>
      <w:r>
        <w:t>Shine, R. 1978. Propagule size and parental care: The “safe harbor” hypothesis. J Theor Biol 75:417–424.</w:t>
      </w:r>
    </w:p>
    <w:p w14:paraId="4A66964A" w14:textId="77777777" w:rsidR="00772076" w:rsidRDefault="00F103E3">
      <w:pPr>
        <w:pStyle w:val="Bibliography"/>
      </w:pPr>
      <w:bookmarkStart w:id="50" w:name="ref-simpson1951"/>
      <w:bookmarkEnd w:id="49"/>
      <w:r>
        <w:t>Simpson, E. H. 1951. The interpretation of interaction in contingency tables. Journal of the Royal Statistical Society: Series B (Methodological) 13:238–241.</w:t>
      </w:r>
    </w:p>
    <w:p w14:paraId="5CA07E3B" w14:textId="77777777" w:rsidR="00772076" w:rsidRDefault="00F103E3">
      <w:pPr>
        <w:pStyle w:val="Bibliography"/>
      </w:pPr>
      <w:bookmarkStart w:id="51" w:name="ref-slagsvold1984"/>
      <w:bookmarkEnd w:id="50"/>
      <w:r>
        <w:lastRenderedPageBreak/>
        <w:t>Slagsvold, T., J. Sandvik, G. Rofstad, Ö. Lorentsen, and M. Husby. 1984. On the adaptive value of intraclutch egg-size variation in birds. The Auk 101:685–697.</w:t>
      </w:r>
    </w:p>
    <w:p w14:paraId="1417861D" w14:textId="77777777" w:rsidR="00772076" w:rsidRDefault="00F103E3">
      <w:pPr>
        <w:pStyle w:val="Bibliography"/>
      </w:pPr>
      <w:bookmarkStart w:id="52" w:name="ref-smith1974"/>
      <w:bookmarkEnd w:id="51"/>
      <w:r>
        <w:t>Smith, C. C., and S. D. Fretwell. 1974. The optimal balance between size and number of offspring. Am Nat 108:499–506.</w:t>
      </w:r>
    </w:p>
    <w:p w14:paraId="6580B07E" w14:textId="77777777" w:rsidR="00772076" w:rsidRDefault="00F103E3">
      <w:pPr>
        <w:pStyle w:val="Bibliography"/>
      </w:pPr>
      <w:bookmarkStart w:id="53" w:name="ref-staerkle2008"/>
      <w:bookmarkEnd w:id="52"/>
      <w:r>
        <w:t>Staerkle, M., and M. Kölliker. 2008. Maternal food regurgitation to nymphs in earwigs (</w:t>
      </w:r>
      <w:r>
        <w:rPr>
          <w:i/>
          <w:iCs/>
        </w:rPr>
        <w:t>forficula auricularia</w:t>
      </w:r>
      <w:r>
        <w:t>). Ethology 114:844–850.</w:t>
      </w:r>
    </w:p>
    <w:p w14:paraId="14FFC730" w14:textId="77777777" w:rsidR="00772076" w:rsidRDefault="00F103E3">
      <w:pPr>
        <w:pStyle w:val="Bibliography"/>
      </w:pPr>
      <w:bookmarkStart w:id="54" w:name="ref-stearns1992"/>
      <w:bookmarkEnd w:id="53"/>
      <w:r>
        <w:t>Stearns, S. C. 1992. The Evolution of Life Histories. Oxford University Press.</w:t>
      </w:r>
    </w:p>
    <w:p w14:paraId="3389481E" w14:textId="77777777" w:rsidR="00772076" w:rsidRDefault="00F103E3">
      <w:pPr>
        <w:pStyle w:val="Bibliography"/>
      </w:pPr>
      <w:bookmarkStart w:id="55" w:name="ref-stoffel2017"/>
      <w:bookmarkEnd w:id="54"/>
      <w:r>
        <w:t>Stoffel, M. A., S. Nakagawa, and H. Schielzeth. 2017. RptR: Repeatability estimation and variance decomposition by generalized linear mixed‐effects models. Methods Ecol Evol 8:1639–1644.</w:t>
      </w:r>
    </w:p>
    <w:p w14:paraId="34A06BE9" w14:textId="77777777" w:rsidR="00772076" w:rsidRDefault="00F103E3">
      <w:pPr>
        <w:pStyle w:val="Bibliography"/>
      </w:pPr>
      <w:bookmarkStart w:id="56" w:name="ref-torres-vila2012"/>
      <w:bookmarkEnd w:id="55"/>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0958884A" w14:textId="77777777" w:rsidR="00772076" w:rsidRDefault="00F103E3">
      <w:pPr>
        <w:pStyle w:val="Bibliography"/>
      </w:pPr>
      <w:bookmarkStart w:id="57" w:name="ref-tourneur2018"/>
      <w:bookmarkEnd w:id="56"/>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24712CAA" w14:textId="77777777" w:rsidR="00772076" w:rsidRDefault="00F103E3">
      <w:pPr>
        <w:pStyle w:val="Bibliography"/>
      </w:pPr>
      <w:bookmarkStart w:id="58" w:name="ref-tourneur1992"/>
      <w:bookmarkEnd w:id="57"/>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24CB4EED" w14:textId="77777777" w:rsidR="00772076" w:rsidRDefault="00F103E3">
      <w:pPr>
        <w:pStyle w:val="Bibliography"/>
      </w:pPr>
      <w:bookmarkStart w:id="59" w:name="ref-vannoordwijk1986"/>
      <w:bookmarkEnd w:id="58"/>
      <w:r>
        <w:t>Van Noordwijk, A. J., and G. de Jong. 1986. Acquisition and allocation of resources: Their influence on variation in life history tactics. Am Nat 128:137–142.</w:t>
      </w:r>
    </w:p>
    <w:p w14:paraId="269F936B" w14:textId="77777777" w:rsidR="00772076" w:rsidRDefault="00F103E3">
      <w:pPr>
        <w:pStyle w:val="Bibliography"/>
      </w:pPr>
      <w:bookmarkStart w:id="60" w:name="ref-williams1994"/>
      <w:bookmarkEnd w:id="59"/>
      <w:r>
        <w:t>Williams, T. D. 1994. Intraspecific variation in egg size and egg composition in birds: Effects on offspring fitness. Biol Rev Camb Philos Soc 69:35–59.</w:t>
      </w:r>
    </w:p>
    <w:p w14:paraId="52E747FC" w14:textId="77777777" w:rsidR="00772076" w:rsidRDefault="00F103E3">
      <w:pPr>
        <w:pStyle w:val="Bibliography"/>
      </w:pPr>
      <w:bookmarkStart w:id="61" w:name="ref-winkler1987"/>
      <w:bookmarkEnd w:id="60"/>
      <w:r>
        <w:t>Winkler, D. W., and K. Wallin. 1987. Offspring size and number: A life history model linking effort per offspring and total effort. Am Nat 129:708–720.</w:t>
      </w:r>
    </w:p>
    <w:p w14:paraId="0DC17FC4" w14:textId="77777777" w:rsidR="00772076" w:rsidRDefault="00F103E3">
      <w:pPr>
        <w:pStyle w:val="Bibliography"/>
      </w:pPr>
      <w:bookmarkStart w:id="62" w:name="ref-yanagi2006"/>
      <w:bookmarkEnd w:id="61"/>
      <w:r>
        <w:t>Yanagi, S., T. Oikawa, and T. Miyatake. 2006. Heritability and genetic correlation estimates for egg size and number in callosobruchus chinensis (coleoptera: bruchidae). Ann Entomol Soc Am 99:364–368.</w:t>
      </w:r>
    </w:p>
    <w:p w14:paraId="534F4749" w14:textId="77777777" w:rsidR="00772076" w:rsidRDefault="00F103E3">
      <w:pPr>
        <w:pStyle w:val="Bibliography"/>
      </w:pPr>
      <w:bookmarkStart w:id="63" w:name="ref-yosef2008"/>
      <w:bookmarkEnd w:id="62"/>
      <w:r>
        <w:t>Yosef, R., and P. Zduniak. 2008. Variation in clutch size, egg size variability and reproductive output in the desert finch (rhodospiza obsoleta). J Arid Environ 72:1631–1635.</w:t>
      </w:r>
    </w:p>
    <w:bookmarkEnd w:id="22"/>
    <w:bookmarkEnd w:id="63"/>
    <w:p w14:paraId="236EA77E" w14:textId="77777777" w:rsidR="00772076" w:rsidRDefault="00F103E3">
      <w:pPr>
        <w:pStyle w:val="BodyText"/>
      </w:pPr>
      <w:r>
        <w:t>—– end of section:</w:t>
      </w:r>
    </w:p>
    <w:p w14:paraId="671C5CCB" w14:textId="77777777" w:rsidR="00772076" w:rsidRDefault="00F103E3">
      <w:pPr>
        <w:pStyle w:val="BodyText"/>
      </w:pPr>
      <w:r>
        <w:lastRenderedPageBreak/>
        <w:t>##Figures</w:t>
      </w:r>
    </w:p>
    <w:tbl>
      <w:tblPr>
        <w:tblStyle w:val="Table"/>
        <w:tblW w:w="5000" w:type="pct"/>
        <w:tblLayout w:type="fixed"/>
        <w:tblLook w:val="0000" w:firstRow="0" w:lastRow="0" w:firstColumn="0" w:lastColumn="0" w:noHBand="0" w:noVBand="0"/>
      </w:tblPr>
      <w:tblGrid>
        <w:gridCol w:w="9620"/>
      </w:tblGrid>
      <w:tr w:rsidR="00772076" w14:paraId="493FDA1B" w14:textId="77777777">
        <w:tc>
          <w:tcPr>
            <w:tcW w:w="7920" w:type="dxa"/>
          </w:tcPr>
          <w:p w14:paraId="4620D7A6" w14:textId="77777777" w:rsidR="00772076" w:rsidRDefault="00F103E3">
            <w:pPr>
              <w:pStyle w:val="Compact"/>
              <w:jc w:val="center"/>
            </w:pPr>
            <w:bookmarkStart w:id="64" w:name="fig-one"/>
            <w:r>
              <w:rPr>
                <w:noProof/>
              </w:rPr>
              <w:drawing>
                <wp:inline distT="0" distB="0" distL="0" distR="0" wp14:anchorId="265547F7" wp14:editId="30B69C95">
                  <wp:extent cx="3810000" cy="25400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74FDD777" w14:textId="77777777" w:rsidR="00772076" w:rsidRDefault="00F103E3">
            <w:pPr>
              <w:pStyle w:val="ImageCaption"/>
              <w:spacing w:before="200"/>
            </w:pPr>
            <w:r>
              <w:t>Figure 1: Mean egg perimeter (mm) plotted against clutch size for the first (salmon) and second (blue) clutches of n = 42 female European earwigs (</w:t>
            </w:r>
            <w:r>
              <w:rPr>
                <w:i/>
                <w:iCs/>
              </w:rPr>
              <w:t>F. auricularia</w:t>
            </w:r>
            <w:r>
              <w:t>). Data are raw values.</w:t>
            </w:r>
          </w:p>
        </w:tc>
        <w:bookmarkEnd w:id="64"/>
      </w:tr>
    </w:tbl>
    <w:p w14:paraId="319F0A9C" w14:textId="77777777" w:rsidR="00772076" w:rsidRDefault="00F103E3">
      <w:pPr>
        <w:pStyle w:val="BodyText"/>
      </w:pPr>
      <w:r>
        <w:t xml:space="preserve"> </w:t>
      </w:r>
    </w:p>
    <w:tbl>
      <w:tblPr>
        <w:tblStyle w:val="Table"/>
        <w:tblW w:w="5000" w:type="pct"/>
        <w:tblLayout w:type="fixed"/>
        <w:tblLook w:val="0000" w:firstRow="0" w:lastRow="0" w:firstColumn="0" w:lastColumn="0" w:noHBand="0" w:noVBand="0"/>
      </w:tblPr>
      <w:tblGrid>
        <w:gridCol w:w="9620"/>
      </w:tblGrid>
      <w:tr w:rsidR="00772076" w14:paraId="20B5DE90" w14:textId="77777777">
        <w:tc>
          <w:tcPr>
            <w:tcW w:w="7920" w:type="dxa"/>
          </w:tcPr>
          <w:p w14:paraId="3D66E37B" w14:textId="77777777" w:rsidR="00772076" w:rsidRDefault="00F103E3">
            <w:pPr>
              <w:pStyle w:val="Compact"/>
              <w:jc w:val="center"/>
            </w:pPr>
            <w:bookmarkStart w:id="65" w:name="fig-two"/>
            <w:r>
              <w:rPr>
                <w:noProof/>
              </w:rPr>
              <w:drawing>
                <wp:inline distT="0" distB="0" distL="0" distR="0" wp14:anchorId="68A1CF67" wp14:editId="229E8301">
                  <wp:extent cx="3810000" cy="25400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2F31B33C" w14:textId="77777777" w:rsidR="00772076" w:rsidRDefault="00F103E3">
            <w:pPr>
              <w:pStyle w:val="ImageCaption"/>
              <w:spacing w:before="200"/>
            </w:pPr>
            <w:r>
              <w:t>Figure 2: (a) Among and (b) within-female egg size variation in the first and second clutches of n = 42 female European earwigs (</w:t>
            </w:r>
            <w:r>
              <w:rPr>
                <w:i/>
                <w:iCs/>
              </w:rPr>
              <w:t>F. auricularia</w:t>
            </w:r>
            <w:r>
              <w:t>).</w:t>
            </w:r>
          </w:p>
        </w:tc>
        <w:bookmarkEnd w:id="65"/>
      </w:tr>
      <w:bookmarkEnd w:id="20"/>
    </w:tbl>
    <w:p w14:paraId="7C280503" w14:textId="77777777" w:rsidR="00F103E3" w:rsidRDefault="00F103E3"/>
    <w:sectPr w:rsidR="00F103E3" w:rsidSect="00464596">
      <w:headerReference w:type="even" r:id="rId10"/>
      <w:headerReference w:type="default" r:id="rId11"/>
      <w:footerReference w:type="even" r:id="rId12"/>
      <w:footerReference w:type="default" r:id="rId13"/>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22CDB" w14:textId="77777777" w:rsidR="00F103E3" w:rsidRDefault="00F103E3">
      <w:pPr>
        <w:spacing w:after="0"/>
      </w:pPr>
      <w:r>
        <w:separator/>
      </w:r>
    </w:p>
  </w:endnote>
  <w:endnote w:type="continuationSeparator" w:id="0">
    <w:p w14:paraId="4707C7CC" w14:textId="77777777" w:rsidR="00F103E3" w:rsidRDefault="00F103E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6898C9E9"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886D19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0FA1F76E"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39DE0FF"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FC5F4" w14:textId="77777777" w:rsidR="00F103E3" w:rsidRDefault="00F103E3">
      <w:pPr>
        <w:spacing w:after="0"/>
      </w:pPr>
      <w:r>
        <w:separator/>
      </w:r>
    </w:p>
  </w:footnote>
  <w:footnote w:type="continuationSeparator" w:id="0">
    <w:p w14:paraId="0B87D0D7" w14:textId="77777777" w:rsidR="00F103E3" w:rsidRDefault="00F103E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053A755F"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B5659A"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23" w14:textId="77777777" w:rsidR="00D100A8" w:rsidRDefault="00D100A8" w:rsidP="00F25F6C">
    <w:pPr>
      <w:pStyle w:val="Header"/>
      <w:framePr w:wrap="none" w:vAnchor="text" w:hAnchor="margin" w:xAlign="right" w:y="1"/>
      <w:rPr>
        <w:rStyle w:val="PageNumber"/>
      </w:rPr>
    </w:pPr>
  </w:p>
  <w:p w14:paraId="073579BA"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428F1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50C4FA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2"/>
    <w:multiLevelType w:val="multilevel"/>
    <w:tmpl w:val="E83CC8D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3"/>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5"/>
  </w:num>
  <w:num w:numId="13" w16cid:durableId="442194333">
    <w:abstractNumId w:val="14"/>
  </w:num>
  <w:num w:numId="14" w16cid:durableId="742337998">
    <w:abstractNumId w:val="10"/>
  </w:num>
  <w:num w:numId="15" w16cid:durableId="6834804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1823662">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61472"/>
    <w:rsid w:val="00772076"/>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5EA3"/>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103E3"/>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CA384"/>
  <w15:docId w15:val="{FF29ADE9-2184-D746-8515-1A1A60790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25</Pages>
  <Words>6009</Words>
  <Characters>34133</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3</cp:revision>
  <dcterms:created xsi:type="dcterms:W3CDTF">2026-02-17T20:26:00Z</dcterms:created>
  <dcterms:modified xsi:type="dcterms:W3CDTF">2026-02-17T20:29:00Z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