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4.jpg" ContentType="image/jpeg"/>
  <Override PartName="/word/media/rId8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Residual correlation shows that European earwigs do not trade off clutch and egg size.</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 xml:space="preserve">Forficula auricularia</w:t>
      </w:r>
      <w:r>
        <w:t xml:space="preserve">)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r>
        <w:br w:type="page"/>
      </w:r>
    </w:p>
    <w:bookmarkEnd w:id="21"/>
    <w:bookmarkStart w:id="22" w:name="introduction"/>
    <w:p>
      <w:pPr>
        <w:pStyle w:val="Heading1"/>
      </w:pPr>
      <w:r>
        <w:t xml:space="preserve">Introduction</w:t>
      </w:r>
    </w:p>
    <w:p>
      <w:pPr>
        <w:pStyle w:val="FirstParagraph"/>
      </w:pPr>
      <w:r>
        <w:t xml:space="preserve">Maternal investment is allocated between offspring fitness and quantity, with larger eggs generally enhancing offspring fitness</w:t>
      </w:r>
      <w:r>
        <w:t xml:space="preserve"> </w:t>
      </w:r>
      <w:r>
        <w:t xml:space="preserve">(Clutton-Brock 1991)</w:t>
      </w:r>
      <w:r>
        <w:t xml:space="preserve">. A limited pool of reproductive resources, therefore, requires females to balance investment between the number and quality of eggs produced during a reproductive cycle</w:t>
      </w:r>
      <w:r>
        <w:t xml:space="preserve"> </w:t>
      </w:r>
      <w:r>
        <w:t xml:space="preserve">(Smith and Fretwell 1974; Roff 1992; Fox and Czesak 2000; see also Parker 1982)</w:t>
      </w:r>
      <w:r>
        <w:t xml:space="preserve">. However, these traits do not always trade off against each other</w:t>
      </w:r>
      <w:r>
        <w:t xml:space="preserve"> </w:t>
      </w:r>
      <w:r>
        <w:t xml:space="preserve">(Roff 1992; Stearns 1992; Bernardo 1996; Fox and Czesak 2000; Hargitai et al. 2005; Cavaleiro and Santos 2014)</w:t>
      </w:r>
      <w:r>
        <w:t xml:space="preserve">. Or at least, they do not appear to trade off. Positive correlations between traits that should otherwise covary negatively could be due to how individuals acquire resources and subsequently allocate them among competing traits</w:t>
      </w:r>
      <w:r>
        <w:t xml:space="preserve"> </w:t>
      </w:r>
      <w:r>
        <w:t xml:space="preserve">(Reznick et al. 2000)</w:t>
      </w:r>
      <w:r>
        <w:t xml:space="preserve">. Van Noordwijk and DeJong</w:t>
      </w:r>
      <w:r>
        <w:t xml:space="preserve"> </w:t>
      </w:r>
      <w:r>
        <w:t xml:space="preserve">(1986; see also Reznick et al. 2000)</w:t>
      </w:r>
      <w:r>
        <w:t xml:space="preserve"> </w:t>
      </w:r>
      <w:r>
        <w:t xml:space="preserve">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w:t>
      </w:r>
      <w:r>
        <w:t xml:space="preserve"> </w:t>
      </w:r>
      <w:r>
        <w:t xml:space="preserve">(i.e. Simpson’s Paradox, Simpson 1951)</w:t>
      </w:r>
      <w:r>
        <w:t xml:space="preserve">, assuming that all individuals follow a similar allocation strategy. This means that females that acquire more reproductive resources can produce more and larger eggs, but must nevertheless trade off size and number.</w:t>
      </w:r>
    </w:p>
    <w:p>
      <w:pPr>
        <w:pStyle w:val="BodyText"/>
      </w:pPr>
      <w:r>
        <w:t xml:space="preserve">Careau and Wilson</w:t>
      </w:r>
      <w:r>
        <w:t xml:space="preserve"> </w:t>
      </w:r>
      <w:r>
        <w:t xml:space="preserve">(2017)</w:t>
      </w:r>
      <w:r>
        <w:t xml:space="preserve"> </w:t>
      </w:r>
      <w:r>
        <w:t xml:space="preserve">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within-individual correlations. To my knowledge, no study has yet adopted this approach to show that females indeed trade off egg number and size, despite these traits positively correlating across a population of females. I use the approach of Careau and Wilson</w:t>
      </w:r>
      <w:r>
        <w:t xml:space="preserve"> </w:t>
      </w:r>
      <w:r>
        <w:t xml:space="preserve">(2017)</w:t>
      </w:r>
      <w:r>
        <w:t xml:space="preserve"> </w:t>
      </w:r>
      <w:r>
        <w:t xml:space="preserve">here to test the hypothesis that European earwigs (</w:t>
      </w:r>
      <w:r>
        <w:rPr>
          <w:i/>
          <w:iCs/>
        </w:rPr>
        <w:t xml:space="preserve">Forficula auricularia</w:t>
      </w:r>
      <w:r>
        <w:t xml:space="preserve">) trade off clutch and egg size.</w:t>
      </w:r>
      <w:r>
        <w:t xml:space="preserve"> </w:t>
      </w:r>
      <w:r>
        <w:rPr>
          <w:i/>
          <w:iCs/>
        </w:rPr>
        <w:t xml:space="preserve">F. auricularia</w:t>
      </w:r>
      <w:r>
        <w:t xml:space="preserve"> </w:t>
      </w:r>
      <w:r>
        <w:t xml:space="preserve">is an ideal insect for testing this hypothesis because females lay a single clutch of eggs in a subterranean burrow within a short period of time (i.e. hours)</w:t>
      </w:r>
      <w:r>
        <w:t xml:space="preserve"> </w:t>
      </w:r>
      <w:r>
        <w:t xml:space="preserve">(Meunier 2024)</w:t>
      </w:r>
      <w:r>
        <w:t xml:space="preserve">. Females care for eggs and the nymphs for up to 2 weeks post-hatching</w:t>
      </w:r>
      <w:r>
        <w:t xml:space="preserve"> </w:t>
      </w:r>
      <w:r>
        <w:t xml:space="preserve">(Staerkle and Kölliker 2008; Meunier 2024)</w:t>
      </w:r>
      <w:r>
        <w:t xml:space="preserve">. Earwigs in Quebec, Canada, are semelparous because the harsh environmental conditions extend the incubation and egg-care period beyond the point at which a second clutch is possible</w:t>
      </w:r>
      <w:r>
        <w:t xml:space="preserve"> </w:t>
      </w:r>
      <w:r>
        <w:t xml:space="preserve">(Tourneur 2018)</w:t>
      </w:r>
      <w:r>
        <w:t xml:space="preserve">.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w:t>
      </w:r>
      <w:r>
        <w:t xml:space="preserve"> </w:t>
      </w:r>
      <w:r>
        <w:t xml:space="preserve">(e.g., Smith and Fretwell 1974)</w:t>
      </w:r>
      <w:r>
        <w:t xml:space="preserve">. If so, one trait should not differ between clutches (e.g., egg number), whereas the other (e.g., egg size) is adjusted accordingly</w:t>
      </w:r>
      <w:r>
        <w:t xml:space="preserve"> </w:t>
      </w:r>
      <w:r>
        <w:t xml:space="preserve">(Winkler and Wallin 1987)</w:t>
      </w:r>
      <w:r>
        <w:t xml:space="preserve">. Alternatively, females laying a second clutch may recognise their low residual reproductive value and, consequently, terminally invest in current reproduction by producing either more or larger eggs in this clutch</w:t>
      </w:r>
      <w:r>
        <w:t xml:space="preserve"> </w:t>
      </w:r>
      <w:r>
        <w:t xml:space="preserve">(Clutton-Brock 1984)</w:t>
      </w:r>
      <w:r>
        <w:t xml:space="preserve">. Finally, I explore whether eggs in first and second clutches differ in their size variation at the among- and within-female (clutch) levels</w:t>
      </w:r>
      <w:r>
        <w:t xml:space="preserve"> </w:t>
      </w:r>
      <w:r>
        <w:t xml:space="preserve">(e.g. Hargitai et al. 2005)</w:t>
      </w:r>
      <w:r>
        <w:t xml:space="preserve">.</w:t>
      </w:r>
    </w:p>
    <w:bookmarkEnd w:id="22"/>
    <w:bookmarkStart w:id="30" w:name="methods"/>
    <w:p>
      <w:pPr>
        <w:pStyle w:val="Heading1"/>
      </w:pPr>
      <w:r>
        <w:t xml:space="preserve">Methods</w:t>
      </w:r>
    </w:p>
    <w:p>
      <w:pPr>
        <w:pStyle w:val="FirstParagraph"/>
      </w:pPr>
      <w:r>
        <w:t xml:space="preserve">I collected adult female earwigs (n=42)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pPr>
        <w:pStyle w:val="BodyText"/>
      </w:pPr>
      <w:r>
        <w:t xml:space="preserve">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above. Females were then weighed to the nearest 0.01 mg using a Sartorius Secura 224-1S analytical balance. Females were weighed three times, with each weighing bout separated by four days. I used Fiji image analysis software</w:t>
      </w:r>
      <w:r>
        <w:t xml:space="preserve"> </w:t>
      </w:r>
      <w:r>
        <w:t xml:space="preserve">(Schindelin et al. 2012)</w:t>
      </w:r>
      <w:r>
        <w:t xml:space="preserve"> </w:t>
      </w:r>
      <w:r>
        <w:t xml:space="preserve">to measure the length of the female pronotum and the perimeter of each egg to the nearest 0.001 mm. Both traits were measured three times, with each measurement separated by 4 days.</w:t>
      </w:r>
    </w:p>
    <w:bookmarkStart w:id="23" w:name="statistical-analysis"/>
    <w:p>
      <w:pPr>
        <w:pStyle w:val="Heading3"/>
      </w:pPr>
      <w:r>
        <w:t xml:space="preserve">Statistical analysis</w:t>
      </w:r>
    </w:p>
    <w:p>
      <w:pPr>
        <w:pStyle w:val="FirstParagraph"/>
      </w:pPr>
      <w:r>
        <w:t xml:space="preserve">I calculated the repeatability of the body mass, pronotum length and egg perimeter measurements using the R package</w:t>
      </w:r>
      <w:r>
        <w:t xml:space="preserve"> </w:t>
      </w:r>
      <w:r>
        <w:rPr>
          <w:i/>
          <w:iCs/>
        </w:rPr>
        <w:t xml:space="preserve">rptR</w:t>
      </w:r>
      <w:r>
        <w:t xml:space="preserve"> </w:t>
      </w:r>
      <w:r>
        <w:t xml:space="preserve">(Stoffel et al. 2017)</w:t>
      </w:r>
      <w:r>
        <w:t xml:space="preserve">. I entered the trait of interest as the response variable, female ID as a random effect, and assumed a Gaussian distribution. Each analysis was based on 1000 bootstrap samples. Because the measurements of my three traits were highly repeatable (pronotum length:</w:t>
      </w:r>
      <w:r>
        <w:t xml:space="preserve"> </w:t>
      </w:r>
      <w:r>
        <w:rPr>
          <w:i/>
          <w:iCs/>
        </w:rPr>
        <w:t xml:space="preserve">R</w:t>
      </w:r>
      <w:r>
        <w:t xml:space="preserve"> </w:t>
      </w:r>
      <w:r>
        <w:t xml:space="preserve">[95% CI] = 0.98 [0.97, 0.99]; body mass:</w:t>
      </w:r>
      <w:r>
        <w:t xml:space="preserve"> </w:t>
      </w:r>
      <w:r>
        <w:rPr>
          <w:i/>
          <w:iCs/>
        </w:rPr>
        <w:t xml:space="preserve">R</w:t>
      </w:r>
      <w:r>
        <w:t xml:space="preserve"> </w:t>
      </w:r>
      <w:r>
        <w:t xml:space="preserve">[95% CI] = 0.99 [0.988, 0.996] egg perimeter in the first brood:</w:t>
      </w:r>
      <w:r>
        <w:t xml:space="preserve"> </w:t>
      </w:r>
      <w:r>
        <w:rPr>
          <w:i/>
          <w:iCs/>
        </w:rPr>
        <w:t xml:space="preserve">R</w:t>
      </w:r>
      <w:r>
        <w:t xml:space="preserve"> </w:t>
      </w:r>
      <w:r>
        <w:t xml:space="preserve">[95% CI] = 0.977 [0.976, 0.979] and in the second brood:</w:t>
      </w:r>
      <w:r>
        <w:t xml:space="preserve"> </w:t>
      </w:r>
      <w:r>
        <w:rPr>
          <w:i/>
          <w:iCs/>
        </w:rPr>
        <w:t xml:space="preserve">R</w:t>
      </w:r>
      <w:r>
        <w:t xml:space="preserve"> </w:t>
      </w:r>
      <w:r>
        <w:t xml:space="preserve">[95% CI] = 0.93 [0.926, 0.937] ), I used each female’s mean value for each trait in all subsequent analyses.</w:t>
      </w:r>
    </w:p>
    <w:p>
      <w:pPr>
        <w:pStyle w:val="BodyText"/>
      </w:pPr>
      <w:r>
        <w:t xml:space="preserve">I reduced the two measurements representing body size (pronotum length and body mass) to a single value (PC1) by performing a principal components analysis (PCA) on the correlation matrix of standardized measurements using the</w:t>
      </w:r>
      <w:r>
        <w:t xml:space="preserve"> </w:t>
      </w:r>
      <w:r>
        <w:rPr>
          <w:i/>
          <w:iCs/>
        </w:rPr>
        <w:t xml:space="preserve">prcomp</w:t>
      </w:r>
      <w:r>
        <w:t xml:space="preserve"> </w:t>
      </w:r>
      <w:r>
        <w:t xml:space="preserve">function in the stats package in R</w:t>
      </w:r>
      <w:r>
        <w:t xml:space="preserve"> </w:t>
      </w:r>
      <w:r>
        <w:t xml:space="preserve">(R Core Team 2025)</w:t>
      </w:r>
      <w:r>
        <w:t xml:space="preserve">. The first PC accounted for 60.8% of the variation. I also standardised female body mass relative to body size using the scaled mass index procedure of Peig and Green</w:t>
      </w:r>
      <w:r>
        <w:t xml:space="preserve"> </w:t>
      </w:r>
      <w:r>
        <w:t xml:space="preserve">(2009, 2010; see also Kelly et al. 2014)</w:t>
      </w:r>
      <w:r>
        <w:t xml:space="preserve">.</w:t>
      </w:r>
    </w:p>
    <w:p>
      <w:pPr>
        <w:pStyle w:val="BodyText"/>
      </w:pPr>
      <w:r>
        <w:t xml:space="preserve">I tested whether egg number and egg size changed across successive broods by fitting a multivariate Bayesian mixed-effects model including clutch order (first vs. second clutch) as a fixed effect for both traits. Egg size was modelled using a Gaussian distribution with an identity link, whereas egg number was modelled using a Poisson distribution with a log link.</w:t>
      </w:r>
      <w:r>
        <w:t xml:space="preserve"> </w:t>
      </w:r>
      <w:r>
        <w:t xml:space="preserve">For female</w:t>
      </w:r>
      <w:r>
        <w:t xml:space="preserve"> </w:t>
      </w:r>
      <w:r>
        <w:rPr>
          <w:i/>
          <w:iCs/>
        </w:rPr>
        <w:t xml:space="preserve">i</w:t>
      </w:r>
      <w:r>
        <w:t xml:space="preserve"> </w:t>
      </w:r>
      <w:r>
        <w:t xml:space="preserve">and brood</w:t>
      </w:r>
      <w:r>
        <w:t xml:space="preserve"> </w:t>
      </w:r>
      <w:r>
        <w:rPr>
          <w:i/>
          <w:iCs/>
        </w:rPr>
        <w:t xml:space="preserve">j</w:t>
      </w:r>
      <w:r>
        <w:t xml:space="preserve">, the model was specified as:</w:t>
      </w:r>
    </w:p>
    <w:bookmarkEnd w:id="23"/>
    <w:bookmarkStart w:id="24" w:name="multivariate-brood-order-model"/>
    <w:p>
      <w:pPr>
        <w:pStyle w:val="Heading2"/>
      </w:pPr>
      <w:r>
        <w:t xml:space="preserve">Multivariate Brood-Order Model</w:t>
      </w:r>
    </w:p>
    <w:p>
      <w:pPr>
        <w:pStyle w:val="FirstParagraph"/>
      </w:pPr>
      <w:r>
        <w:t xml:space="preserve">For female</w:t>
      </w:r>
      <w:r>
        <w:t xml:space="preserve"> </w:t>
      </w:r>
      <m:oMath>
        <m:r>
          <m:t>i</m:t>
        </m:r>
      </m:oMath>
      <w:r>
        <w:t xml:space="preserve"> </w:t>
      </w:r>
      <w:r>
        <w:t xml:space="preserve">and brood</w:t>
      </w:r>
      <w:r>
        <w:t xml:space="preserve"> </w:t>
      </w:r>
      <m:oMath>
        <m:r>
          <m:t>j</m:t>
        </m:r>
      </m:oMath>
      <w:r>
        <w:t xml:space="preserve">, mean egg size and egg number were modelled jointly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MeanEggSize</m:t>
                    </m:r>
                  </m:e>
                  <m:sub>
                    <m:r>
                      <m:t>i</m:t>
                    </m:r>
                    <m:r>
                      <m:t>j</m:t>
                    </m:r>
                  </m:sub>
                </m:sSub>
              </m:e>
              <m:e>
                <m:r>
                  <m:rPr>
                    <m:sty m:val="p"/>
                  </m:rPr>
                  <m:t>∼</m:t>
                </m:r>
                <m:r>
                  <m:rPr>
                    <m:sty m:val="p"/>
                    <m:scr m:val="script"/>
                  </m:rPr>
                  <m:t>N</m:t>
                </m:r>
                <m:d>
                  <m:dPr>
                    <m:begChr m:val="("/>
                    <m:sepChr m:val=""/>
                    <m:endChr m:val=")"/>
                    <m:grow/>
                  </m:dPr>
                  <m:e>
                    <m:sSub>
                      <m:e>
                        <m:r>
                          <m:t>μ</m:t>
                        </m:r>
                      </m:e>
                      <m:sub>
                        <m:r>
                          <m:t>1</m:t>
                        </m:r>
                        <m:r>
                          <m:rPr>
                            <m:sty m:val="p"/>
                          </m:rPr>
                          <m:t>,</m:t>
                        </m:r>
                        <m:r>
                          <m:t>i</m:t>
                        </m:r>
                        <m:r>
                          <m:t>j</m:t>
                        </m:r>
                      </m:sub>
                    </m:sSub>
                    <m:r>
                      <m:rPr>
                        <m:sty m:val="p"/>
                      </m:rPr>
                      <m:t>,</m:t>
                    </m:r>
                    <m:sSubSup>
                      <m:e>
                        <m:r>
                          <m:t>σ</m:t>
                        </m:r>
                      </m:e>
                      <m:sub>
                        <m:r>
                          <m:t>1</m:t>
                        </m:r>
                      </m:sub>
                      <m:sup>
                        <m:r>
                          <m:t>2</m:t>
                        </m:r>
                      </m:sup>
                    </m:sSubSup>
                  </m:e>
                </m:d>
              </m:e>
            </m:mr>
            <m:mr>
              <m:e>
                <m:sSub>
                  <m:e>
                    <m:r>
                      <m:t>μ</m:t>
                    </m:r>
                  </m:e>
                  <m:sub>
                    <m:r>
                      <m:t>1</m:t>
                    </m:r>
                    <m:r>
                      <m:rPr>
                        <m:sty m:val="p"/>
                      </m:rPr>
                      <m:t>,</m:t>
                    </m:r>
                    <m:r>
                      <m:t>i</m:t>
                    </m:r>
                    <m:r>
                      <m:t>j</m:t>
                    </m:r>
                  </m:sub>
                </m:sSub>
              </m:e>
              <m:e>
                <m:r>
                  <m:rPr>
                    <m:sty m:val="p"/>
                  </m:rPr>
                  <m:t>=</m:t>
                </m:r>
                <m:sSub>
                  <m:e>
                    <m:r>
                      <m:t>β</m:t>
                    </m:r>
                  </m:e>
                  <m:sub>
                    <m:r>
                      <m:t>1</m:t>
                    </m:r>
                    <m:r>
                      <m:rPr>
                        <m:sty m:val="p"/>
                      </m:rPr>
                      <m:t>,</m:t>
                    </m:r>
                    <m:r>
                      <m:t>0</m:t>
                    </m:r>
                  </m:sub>
                </m:sSub>
                <m:r>
                  <m:rPr>
                    <m:sty m:val="p"/>
                  </m:rPr>
                  <m:t>+</m:t>
                </m:r>
                <m:sSub>
                  <m:e>
                    <m:r>
                      <m:t>β</m:t>
                    </m:r>
                  </m:e>
                  <m:sub>
                    <m:r>
                      <m:t>1</m:t>
                    </m:r>
                    <m:r>
                      <m:rPr>
                        <m:sty m:val="p"/>
                      </m:rPr>
                      <m:t>,</m:t>
                    </m:r>
                    <m:r>
                      <m:rPr>
                        <m:nor/>
                        <m:sty m:val="p"/>
                      </m:rPr>
                      <m:t>brood</m:t>
                    </m:r>
                  </m:sub>
                </m:sSub>
                <m:r>
                  <m:t> </m:t>
                </m:r>
                <m:sSub>
                  <m:e>
                    <m:r>
                      <m:rPr>
                        <m:nor/>
                        <m:sty m:val="p"/>
                      </m:rPr>
                      <m:t>Brood</m:t>
                    </m:r>
                  </m:e>
                  <m:sub>
                    <m:r>
                      <m:t>i</m:t>
                    </m:r>
                    <m:r>
                      <m:t>j</m:t>
                    </m:r>
                  </m:sub>
                </m:sSub>
                <m:r>
                  <m:rPr>
                    <m:sty m:val="p"/>
                  </m:rPr>
                  <m:t>+</m:t>
                </m:r>
                <m:sSub>
                  <m:e>
                    <m:r>
                      <m:t>b</m:t>
                    </m:r>
                  </m:e>
                  <m:sub>
                    <m:r>
                      <m:t>1</m:t>
                    </m:r>
                    <m:r>
                      <m:rPr>
                        <m:sty m:val="p"/>
                      </m:rPr>
                      <m:t>,</m:t>
                    </m:r>
                    <m:r>
                      <m:t>i</m:t>
                    </m:r>
                  </m:sub>
                </m:sSub>
              </m:e>
            </m:mr>
            <m:mr>
              <m:e/>
            </m:mr>
            <m:mr>
              <m:e>
                <m:sSub>
                  <m:e>
                    <m:r>
                      <m:rPr>
                        <m:nor/>
                        <m:sty m:val="p"/>
                      </m:rPr>
                      <m:t>EggNumber</m:t>
                    </m:r>
                  </m:e>
                  <m:sub>
                    <m:r>
                      <m:t>i</m:t>
                    </m:r>
                    <m:r>
                      <m:t>j</m:t>
                    </m:r>
                  </m:sub>
                </m:sSub>
              </m:e>
              <m:e>
                <m:r>
                  <m:rPr>
                    <m:sty m:val="p"/>
                  </m:rPr>
                  <m:t>∼</m:t>
                </m:r>
                <m:r>
                  <m:rPr>
                    <m:nor/>
                    <m:sty m:val="p"/>
                  </m:rPr>
                  <m:t>Poisson</m:t>
                </m:r>
                <m:d>
                  <m:dPr>
                    <m:begChr m:val="("/>
                    <m:sepChr m:val=""/>
                    <m:endChr m:val=")"/>
                    <m:grow/>
                  </m:dPr>
                  <m:e>
                    <m:sSub>
                      <m:e>
                        <m:r>
                          <m:t>λ</m:t>
                        </m:r>
                      </m:e>
                      <m:sub>
                        <m:r>
                          <m:t>i</m:t>
                        </m:r>
                        <m:r>
                          <m:t>j</m:t>
                        </m:r>
                      </m:sub>
                    </m:sSub>
                  </m:e>
                </m:d>
              </m:e>
            </m:mr>
            <m:mr>
              <m:e>
                <m:r>
                  <m:rPr>
                    <m:sty m:val="p"/>
                  </m:rPr>
                  <m:t>log</m:t>
                </m:r>
                <m:d>
                  <m:dPr>
                    <m:begChr m:val="("/>
                    <m:sepChr m:val=""/>
                    <m:endChr m:val=")"/>
                    <m:grow/>
                  </m:dPr>
                  <m:e>
                    <m:sSub>
                      <m:e>
                        <m:r>
                          <m:t>λ</m:t>
                        </m:r>
                      </m:e>
                      <m:sub>
                        <m:r>
                          <m:t>i</m:t>
                        </m:r>
                        <m:r>
                          <m:t>j</m:t>
                        </m:r>
                      </m:sub>
                    </m:sSub>
                  </m:e>
                </m:d>
              </m:e>
              <m:e>
                <m:r>
                  <m:rPr>
                    <m:sty m:val="p"/>
                  </m:rPr>
                  <m:t>=</m:t>
                </m:r>
                <m:sSub>
                  <m:e>
                    <m:r>
                      <m:t>β</m:t>
                    </m:r>
                  </m:e>
                  <m:sub>
                    <m:r>
                      <m:t>2</m:t>
                    </m:r>
                    <m:r>
                      <m:rPr>
                        <m:sty m:val="p"/>
                      </m:rPr>
                      <m:t>,</m:t>
                    </m:r>
                    <m:r>
                      <m:t>0</m:t>
                    </m:r>
                  </m:sub>
                </m:sSub>
                <m:r>
                  <m:rPr>
                    <m:sty m:val="p"/>
                  </m:rPr>
                  <m:t>+</m:t>
                </m:r>
                <m:sSub>
                  <m:e>
                    <m:r>
                      <m:t>β</m:t>
                    </m:r>
                  </m:e>
                  <m:sub>
                    <m:r>
                      <m:t>2</m:t>
                    </m:r>
                    <m:r>
                      <m:rPr>
                        <m:sty m:val="p"/>
                      </m:rPr>
                      <m:t>,</m:t>
                    </m:r>
                    <m:r>
                      <m:rPr>
                        <m:nor/>
                        <m:sty m:val="p"/>
                      </m:rPr>
                      <m:t>brood</m:t>
                    </m:r>
                  </m:sub>
                </m:sSub>
                <m:r>
                  <m:t> </m:t>
                </m:r>
                <m:sSub>
                  <m:e>
                    <m:r>
                      <m:rPr>
                        <m:nor/>
                        <m:sty m:val="p"/>
                      </m:rPr>
                      <m:t>Brood</m:t>
                    </m:r>
                  </m:e>
                  <m:sub>
                    <m:r>
                      <m:t>i</m:t>
                    </m:r>
                    <m:r>
                      <m:t>j</m:t>
                    </m:r>
                  </m:sub>
                </m:sSub>
                <m:r>
                  <m:rPr>
                    <m:sty m:val="p"/>
                  </m:rPr>
                  <m:t>+</m:t>
                </m:r>
                <m:sSub>
                  <m:e>
                    <m:r>
                      <m:t>b</m:t>
                    </m:r>
                  </m:e>
                  <m:sub>
                    <m:r>
                      <m:t>2</m:t>
                    </m:r>
                    <m:r>
                      <m:rPr>
                        <m:sty m:val="p"/>
                      </m:rPr>
                      <m:t>,</m:t>
                    </m:r>
                    <m:r>
                      <m:t>i</m:t>
                    </m:r>
                  </m:sub>
                </m:sSub>
              </m:e>
            </m:mr>
            <m:mr>
              <m:e/>
            </m:mr>
            <m:mr>
              <m:e>
                <m:d>
                  <m:dPr>
                    <m:begChr m:val="("/>
                    <m:sepChr m:val=""/>
                    <m:endChr m:val=")"/>
                    <m:grow/>
                  </m:dPr>
                  <m:e>
                    <m:m>
                      <m:mPr>
                        <m:baseJc m:val="center"/>
                        <m:plcHide m:val="on"/>
                        <m:mcs>
                          <m:mc>
                            <m:mcPr>
                              <m:mcJc m:val="center"/>
                              <m:count m:val="1"/>
                            </m:mcPr>
                          </m:mc>
                        </m:mcs>
                      </m:mPr>
                      <m:mr>
                        <m:e>
                          <m:sSub>
                            <m:e>
                              <m:r>
                                <m:t>b</m:t>
                              </m:r>
                            </m:e>
                            <m:sub>
                              <m:r>
                                <m:t>1</m:t>
                              </m:r>
                              <m:r>
                                <m:rPr>
                                  <m:sty m:val="p"/>
                                </m:rPr>
                                <m:t>,</m:t>
                              </m:r>
                              <m:r>
                                <m:t>i</m:t>
                              </m:r>
                            </m:sub>
                          </m:sSub>
                        </m:e>
                      </m:mr>
                      <m:mr>
                        <m:e>
                          <m:sSub>
                            <m:e>
                              <m:r>
                                <m:t>b</m:t>
                              </m:r>
                            </m:e>
                            <m:sub>
                              <m:r>
                                <m:t>2</m:t>
                              </m:r>
                              <m:r>
                                <m:rPr>
                                  <m:sty m:val="p"/>
                                </m:rPr>
                                <m:t>,</m:t>
                              </m:r>
                              <m:r>
                                <m:t>i</m:t>
                              </m:r>
                            </m:sub>
                          </m:sSub>
                        </m:e>
                      </m:mr>
                    </m:m>
                  </m:e>
                </m:d>
              </m:e>
              <m:e>
                <m:r>
                  <m:rPr>
                    <m:sty m:val="p"/>
                  </m:rPr>
                  <m:t>∼</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b</m:t>
                        </m:r>
                      </m:sub>
                    </m:sSub>
                  </m:e>
                </m:d>
              </m:e>
            </m:mr>
          </m:m>
        </m:oMath>
      </m:oMathPara>
    </w:p>
    <w:p>
      <w:pPr>
        <w:pStyle w:val="FirstParagraph"/>
      </w:pPr>
      <w:r>
        <w:t xml:space="preserve">where</w:t>
      </w:r>
      <w:r>
        <w:t xml:space="preserve"> </w:t>
      </w:r>
      <m:oMath>
        <m:sSub>
          <m:e>
            <m:r>
              <m:t>b</m:t>
            </m:r>
          </m:e>
          <m:sub>
            <m:r>
              <m:t>1</m:t>
            </m:r>
            <m:r>
              <m:rPr>
                <m:sty m:val="p"/>
              </m:rPr>
              <m:t>,</m:t>
            </m:r>
            <m:r>
              <m:t>i</m:t>
            </m:r>
          </m:sub>
        </m:sSub>
      </m:oMath>
      <w:r>
        <w:t xml:space="preserve"> </w:t>
      </w:r>
      <w:r>
        <w:t xml:space="preserve">and</w:t>
      </w:r>
      <w:r>
        <w:t xml:space="preserve"> </w:t>
      </w:r>
      <m:oMath>
        <m:sSub>
          <m:e>
            <m:r>
              <m:t>b</m:t>
            </m:r>
          </m:e>
          <m:sub>
            <m:r>
              <m:t>2</m:t>
            </m:r>
            <m:r>
              <m:rPr>
                <m:sty m:val="p"/>
              </m:rPr>
              <m:t>,</m:t>
            </m:r>
            <m:r>
              <m:t>i</m:t>
            </m:r>
          </m:sub>
        </m:sSub>
      </m:oMath>
      <w:r>
        <w:t xml:space="preserve"> </w:t>
      </w:r>
      <w:r>
        <w:t xml:space="preserve">are female-specific random intercepts and</w:t>
      </w:r>
      <w:r>
        <w:t xml:space="preserve"> </w:t>
      </w:r>
      <m:oMath>
        <m:sSub>
          <m:e>
            <m:r>
              <m:t>Σ</m:t>
            </m:r>
          </m:e>
          <m:sub>
            <m:r>
              <m:t>b</m:t>
            </m:r>
          </m:sub>
        </m:sSub>
      </m:oMath>
      <w:r>
        <w:t xml:space="preserve"> </w:t>
      </w:r>
      <w:r>
        <w:t xml:space="preserve">is the female-level variance–covariance matrix. Residual correlations between traits were not estimated (</w:t>
      </w:r>
      <w:r>
        <w:rPr>
          <w:rStyle w:val="VerbatimChar"/>
        </w:rPr>
        <w:t xml:space="preserve">set_rescor(FALSE)</w:t>
      </w:r>
      <w:r>
        <w:t xml:space="preserve">). Female identity was included as a random effect for both traits to account for repeated measures. This model tested whether egg traits systematically differed between first and second clutches while accounting for among-female variation.</w:t>
      </w:r>
    </w:p>
    <w:bookmarkEnd w:id="24"/>
    <w:bookmarkStart w:id="28" w:name="multilevel-correlations"/>
    <w:p>
      <w:pPr>
        <w:pStyle w:val="Heading2"/>
      </w:pPr>
      <w:r>
        <w:t xml:space="preserve">Multilevel correlations</w:t>
      </w:r>
    </w:p>
    <w:bookmarkStart w:id="25" w:name="raw-phenotypic-correlation"/>
    <w:p>
      <w:pPr>
        <w:pStyle w:val="Heading3"/>
      </w:pPr>
      <w:r>
        <w:t xml:space="preserve">Raw phenotypic correlation</w:t>
      </w:r>
    </w:p>
    <w:p>
      <w:pPr>
        <w:pStyle w:val="FirstParagraph"/>
      </w:pPr>
      <w:r>
        <w:t xml:space="preserve">I first calculated the raw phenotypic association between egg number and egg size across all observations using Pearson’s correlation coefficient (</w:t>
      </w:r>
      <w:r>
        <w:rPr>
          <w:i/>
          <w:iCs/>
        </w:rPr>
        <w:t xml:space="preserve">r</w:t>
      </w:r>
      <w:r>
        <w:t xml:space="preserve">). This estimate reflects the overall linear association between traits without accounting for repeated measures or hierarchical structure.</w:t>
      </w:r>
    </w:p>
    <w:bookmarkEnd w:id="25"/>
    <w:bookmarkStart w:id="26" w:name="between-female-correlation"/>
    <w:p>
      <w:pPr>
        <w:pStyle w:val="Heading3"/>
      </w:pPr>
      <w:r>
        <w:t xml:space="preserve">Between-female correlation</w:t>
      </w:r>
    </w:p>
    <w:p>
      <w:pPr>
        <w:pStyle w:val="FirstParagraph"/>
      </w:pPr>
      <w:r>
        <w:t xml:space="preserve">To quantify among-female covariation, I calculated the Pearson correlation between female mean egg number and female mean egg size. Female means were calculated across broods. This approach isolates between-female covariance independent of within-female variation.</w:t>
      </w:r>
    </w:p>
    <w:bookmarkEnd w:id="26"/>
    <w:bookmarkStart w:id="27" w:name="X87e37a818f147ef2a5a26f637cd19304f3671a4"/>
    <w:p>
      <w:pPr>
        <w:pStyle w:val="Heading3"/>
      </w:pPr>
      <w:r>
        <w:t xml:space="preserve">Partitioning among- and residual covariance</w:t>
      </w:r>
    </w:p>
    <w:p>
      <w:pPr>
        <w:pStyle w:val="FirstParagraph"/>
      </w:pPr>
      <w:r>
        <w:t xml:space="preserve">To formally partition covariance into among-female and residual components, I fitted a multivariate Gaussian mixed-effects model:</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MeanEggSize</m:t>
                    </m:r>
                  </m:e>
                  <m:sub>
                    <m:r>
                      <m:t>i</m:t>
                    </m:r>
                    <m:r>
                      <m:t>j</m:t>
                    </m:r>
                  </m:sub>
                </m:sSub>
              </m:e>
              <m:e>
                <m:r>
                  <m:rPr>
                    <m:sty m:val="p"/>
                  </m:rPr>
                  <m:t>=</m:t>
                </m:r>
                <m:sSub>
                  <m:e>
                    <m:r>
                      <m:t>β</m:t>
                    </m:r>
                  </m:e>
                  <m:sub>
                    <m:r>
                      <m:t>1</m:t>
                    </m:r>
                    <m:r>
                      <m:rPr>
                        <m:sty m:val="p"/>
                      </m:rPr>
                      <m:t>,</m:t>
                    </m:r>
                    <m:r>
                      <m:t>0</m:t>
                    </m:r>
                  </m:sub>
                </m:sSub>
                <m:r>
                  <m:rPr>
                    <m:sty m:val="p"/>
                  </m:rPr>
                  <m:t>+</m:t>
                </m:r>
                <m:sSub>
                  <m:e>
                    <m:r>
                      <m:t>b</m:t>
                    </m:r>
                  </m:e>
                  <m:sub>
                    <m:r>
                      <m:t>1</m:t>
                    </m:r>
                    <m:r>
                      <m:rPr>
                        <m:sty m:val="p"/>
                      </m:rPr>
                      <m:t>,</m:t>
                    </m:r>
                    <m:r>
                      <m:t>i</m:t>
                    </m:r>
                  </m:sub>
                </m:sSub>
                <m:r>
                  <m:rPr>
                    <m:sty m:val="p"/>
                  </m:rPr>
                  <m:t>+</m:t>
                </m:r>
                <m:sSub>
                  <m:e>
                    <m:r>
                      <m:t>ε</m:t>
                    </m:r>
                  </m:e>
                  <m:sub>
                    <m:r>
                      <m:t>1</m:t>
                    </m:r>
                    <m:r>
                      <m:rPr>
                        <m:sty m:val="p"/>
                      </m:rPr>
                      <m:t>,</m:t>
                    </m:r>
                    <m:r>
                      <m:t>i</m:t>
                    </m:r>
                    <m:r>
                      <m:t>j</m:t>
                    </m:r>
                  </m:sub>
                </m:sSub>
              </m:e>
            </m:mr>
            <m:mr>
              <m:e/>
            </m:mr>
            <m:mr>
              <m:e>
                <m:sSub>
                  <m:e>
                    <m:r>
                      <m:rPr>
                        <m:nor/>
                        <m:sty m:val="p"/>
                      </m:rPr>
                      <m:t>EggNumber</m:t>
                    </m:r>
                  </m:e>
                  <m:sub>
                    <m:r>
                      <m:t>i</m:t>
                    </m:r>
                    <m:r>
                      <m:t>j</m:t>
                    </m:r>
                  </m:sub>
                </m:sSub>
              </m:e>
              <m:e>
                <m:r>
                  <m:rPr>
                    <m:sty m:val="p"/>
                  </m:rPr>
                  <m:t>=</m:t>
                </m:r>
                <m:sSub>
                  <m:e>
                    <m:r>
                      <m:t>β</m:t>
                    </m:r>
                  </m:e>
                  <m:sub>
                    <m:r>
                      <m:t>2</m:t>
                    </m:r>
                    <m:r>
                      <m:rPr>
                        <m:sty m:val="p"/>
                      </m:rPr>
                      <m:t>,</m:t>
                    </m:r>
                    <m:r>
                      <m:t>0</m:t>
                    </m:r>
                  </m:sub>
                </m:sSub>
                <m:r>
                  <m:rPr>
                    <m:sty m:val="p"/>
                  </m:rPr>
                  <m:t>+</m:t>
                </m:r>
                <m:sSub>
                  <m:e>
                    <m:r>
                      <m:t>b</m:t>
                    </m:r>
                  </m:e>
                  <m:sub>
                    <m:r>
                      <m:t>2</m:t>
                    </m:r>
                    <m:r>
                      <m:rPr>
                        <m:sty m:val="p"/>
                      </m:rPr>
                      <m:t>,</m:t>
                    </m:r>
                    <m:r>
                      <m:t>i</m:t>
                    </m:r>
                  </m:sub>
                </m:sSub>
                <m:r>
                  <m:rPr>
                    <m:sty m:val="p"/>
                  </m:rPr>
                  <m:t>+</m:t>
                </m:r>
                <m:sSub>
                  <m:e>
                    <m:r>
                      <m:t>ε</m:t>
                    </m:r>
                  </m:e>
                  <m:sub>
                    <m:r>
                      <m:t>2</m:t>
                    </m:r>
                    <m:r>
                      <m:rPr>
                        <m:sty m:val="p"/>
                      </m:rPr>
                      <m:t>,</m:t>
                    </m:r>
                    <m:r>
                      <m:t>i</m:t>
                    </m:r>
                    <m:r>
                      <m:t>j</m:t>
                    </m:r>
                  </m:sub>
                </m:sSub>
              </m:e>
            </m:mr>
          </m:m>
        </m:oMath>
      </m:oMathPara>
    </w:p>
    <w:p>
      <w:pPr>
        <w:pStyle w:val="FirstParagraph"/>
      </w:pPr>
      <w:r>
        <w:t xml:space="preserve">with random effects and residuals distributed as: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b</m:t>
                        </m:r>
                      </m:e>
                      <m:sub>
                        <m:r>
                          <m:t>1</m:t>
                        </m:r>
                        <m:r>
                          <m:rPr>
                            <m:sty m:val="p"/>
                          </m:rPr>
                          <m:t>,</m:t>
                        </m:r>
                        <m:r>
                          <m:t>i</m:t>
                        </m:r>
                      </m:sub>
                    </m:sSub>
                  </m:e>
                </m:mr>
                <m:mr>
                  <m:e>
                    <m:sSub>
                      <m:e>
                        <m:r>
                          <m:t>b</m:t>
                        </m:r>
                      </m:e>
                      <m:sub>
                        <m:r>
                          <m:t>2</m:t>
                        </m:r>
                        <m:r>
                          <m:rPr>
                            <m:sty m:val="p"/>
                          </m:rPr>
                          <m:t>,</m:t>
                        </m:r>
                        <m:r>
                          <m:t>i</m:t>
                        </m:r>
                      </m:sub>
                    </m:sSub>
                  </m:e>
                </m:mr>
              </m:m>
            </m:e>
          </m:d>
          <m:r>
            <m:rPr>
              <m:sty m:val="p"/>
            </m:rPr>
            <m:t>∼</m:t>
          </m:r>
          <m:r>
            <m:rPr>
              <m:sty m:val="p"/>
              <m:scr m:val="script"/>
            </m:rPr>
            <m:t>M</m:t>
          </m:r>
          <m:r>
            <m:rPr>
              <m:sty m:val="p"/>
              <m:scr m:val="script"/>
            </m:rPr>
            <m:t>V</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b</m:t>
                  </m:r>
                </m:sub>
              </m:sSub>
            </m:e>
          </m:d>
          <m:r>
            <m:rPr>
              <m:sty m:val="p"/>
            </m:rPr>
            <m:t>,</m:t>
          </m:r>
          <m:r>
            <m:t>  </m:t>
          </m:r>
          <m:d>
            <m:dPr>
              <m:begChr m:val="("/>
              <m:sepChr m:val=""/>
              <m:endChr m:val=")"/>
              <m:grow/>
            </m:dPr>
            <m:e>
              <m:m>
                <m:mPr>
                  <m:baseJc m:val="center"/>
                  <m:plcHide m:val="on"/>
                  <m:mcs>
                    <m:mc>
                      <m:mcPr>
                        <m:mcJc m:val="center"/>
                        <m:count m:val="1"/>
                      </m:mcPr>
                    </m:mc>
                  </m:mcs>
                </m:mPr>
                <m:mr>
                  <m:e>
                    <m:sSub>
                      <m:e>
                        <m:r>
                          <m:t>ε</m:t>
                        </m:r>
                      </m:e>
                      <m:sub>
                        <m:r>
                          <m:t>1</m:t>
                        </m:r>
                        <m:r>
                          <m:rPr>
                            <m:sty m:val="p"/>
                          </m:rPr>
                          <m:t>,</m:t>
                        </m:r>
                        <m:r>
                          <m:t>i</m:t>
                        </m:r>
                        <m:r>
                          <m:t>j</m:t>
                        </m:r>
                      </m:sub>
                    </m:sSub>
                  </m:e>
                </m:mr>
                <m:mr>
                  <m:e>
                    <m:sSub>
                      <m:e>
                        <m:r>
                          <m:t>ε</m:t>
                        </m:r>
                      </m:e>
                      <m:sub>
                        <m:r>
                          <m:t>2</m:t>
                        </m:r>
                        <m:r>
                          <m:rPr>
                            <m:sty m:val="p"/>
                          </m:rPr>
                          <m:t>,</m:t>
                        </m:r>
                        <m:r>
                          <m:t>i</m:t>
                        </m:r>
                        <m:r>
                          <m:t>j</m:t>
                        </m:r>
                      </m:sub>
                    </m:sSub>
                  </m:e>
                </m:mr>
              </m:m>
            </m:e>
          </m:d>
          <m:r>
            <m:rPr>
              <m:sty m:val="p"/>
            </m:rPr>
            <m:t>∼</m:t>
          </m:r>
          <m:r>
            <m:rPr>
              <m:sty m:val="p"/>
              <m:scr m:val="script"/>
            </m:rPr>
            <m:t>M</m:t>
          </m:r>
          <m:r>
            <m:rPr>
              <m:sty m:val="p"/>
              <m:scr m:val="script"/>
            </m:rPr>
            <m:t>V</m:t>
          </m:r>
          <m:r>
            <m:rPr>
              <m:sty m:val="p"/>
              <m:scr m:val="script"/>
            </m:rPr>
            <m:t>N</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r>
                <m:rPr>
                  <m:sty m:val="p"/>
                </m:rPr>
                <m:t>,</m:t>
              </m:r>
              <m:sSub>
                <m:e>
                  <m:r>
                    <m:t>Σ</m:t>
                  </m:r>
                </m:e>
                <m:sub>
                  <m:r>
                    <m:t>ε</m:t>
                  </m:r>
                </m:sub>
              </m:sSub>
            </m:e>
          </m:d>
        </m:oMath>
      </m:oMathPara>
    </w:p>
    <w:p>
      <w:pPr>
        <w:pStyle w:val="FirstParagraph"/>
      </w:pPr>
      <w:r>
        <w:t xml:space="preserve">The covariance matrix</w:t>
      </w:r>
      <w:r>
        <w:t xml:space="preserve"> </w:t>
      </w:r>
      <m:oMath>
        <m:sSub>
          <m:e>
            <m:r>
              <m:t>Σ</m:t>
            </m:r>
          </m:e>
          <m:sub>
            <m:r>
              <m:t>b</m:t>
            </m:r>
          </m:sub>
        </m:sSub>
      </m:oMath>
      <w:r>
        <w:t xml:space="preserve"> </w:t>
      </w:r>
      <w:r>
        <w:t xml:space="preserve">captures among-female covariance, whereas</w:t>
      </w:r>
      <w:r>
        <w:t xml:space="preserve"> </w:t>
      </w:r>
      <m:oMath>
        <m:sSub>
          <m:e>
            <m:r>
              <m:t>Σ</m:t>
            </m:r>
          </m:e>
          <m:sub>
            <m:r>
              <m:t>ε</m:t>
            </m:r>
          </m:sub>
        </m:sSub>
      </m:oMath>
      <w:r>
        <w:t xml:space="preserve"> </w:t>
      </w:r>
      <w:r>
        <w:t xml:space="preserve">estimates residual (within-female) covariance after accounting for female identity (</w:t>
      </w:r>
      <w:r>
        <w:rPr>
          <w:rStyle w:val="VerbatimChar"/>
        </w:rPr>
        <w:t xml:space="preserve">set_rescor(TRUE)</w:t>
      </w:r>
      <w:r>
        <w:t xml:space="preserve">).</w:t>
      </w:r>
    </w:p>
    <w:bookmarkEnd w:id="27"/>
    <w:bookmarkEnd w:id="28"/>
    <w:bookmarkStart w:id="29" w:name="withinbetween-fixed-effects-model"/>
    <w:p>
      <w:pPr>
        <w:pStyle w:val="Heading2"/>
      </w:pPr>
      <w:r>
        <w:t xml:space="preserve">Within–Between Fixed Effects Model</w:t>
      </w:r>
    </w:p>
    <w:p>
      <w:pPr>
        <w:pStyle w:val="FirstParagraph"/>
      </w:pPr>
      <w:r>
        <w:t xml:space="preserve">To explicitly separate within- and between-female effects of egg number on egg size, egg number was decomposed as:</w:t>
      </w:r>
    </w:p>
    <w:p>
      <w:pPr>
        <w:pStyle w:val="Compact"/>
        <w:numPr>
          <w:ilvl w:val="0"/>
          <w:numId w:val="1001"/>
        </w:numPr>
      </w:pPr>
      <w:r>
        <w:t xml:space="preserve">Within-female deviation</w:t>
      </w:r>
    </w:p>
    <w:p>
      <w:pPr>
        <w:pStyle w:val="FirstParagraph"/>
      </w:pPr>
      <m:oMathPara>
        <m:oMathParaPr>
          <m:jc m:val="center"/>
        </m:oMathParaPr>
        <m:oMath>
          <m:sSub>
            <m:e>
              <m:r>
                <m:rPr>
                  <m:nor/>
                  <m:sty m:val="p"/>
                </m:rPr>
                <m:t>EggNumber</m:t>
              </m:r>
            </m:e>
            <m:sub>
              <m:r>
                <m:rPr>
                  <m:nor/>
                  <m:sty m:val="p"/>
                </m:rPr>
                <m:t>within</m:t>
              </m:r>
              <m:r>
                <m:rPr>
                  <m:sty m:val="p"/>
                </m:rPr>
                <m:t>,</m:t>
              </m:r>
              <m:r>
                <m:t>i</m:t>
              </m:r>
              <m:r>
                <m:t>j</m:t>
              </m:r>
            </m:sub>
          </m:sSub>
          <m:r>
            <m:rPr>
              <m:sty m:val="p"/>
            </m:rPr>
            <m:t>=</m:t>
          </m:r>
          <m:sSub>
            <m:e>
              <m:r>
                <m:rPr>
                  <m:nor/>
                  <m:sty m:val="p"/>
                </m:rPr>
                <m:t>EggNumber</m:t>
              </m:r>
            </m:e>
            <m:sub>
              <m:r>
                <m:t>i</m:t>
              </m:r>
              <m:r>
                <m:t>j</m:t>
              </m:r>
            </m:sub>
          </m:sSub>
          <m:r>
            <m:rPr>
              <m:sty m:val="p"/>
            </m:rPr>
            <m:t>−</m:t>
          </m:r>
          <m:sSub>
            <m:e>
              <m:acc>
                <m:accPr>
                  <m:chr m:val="‾"/>
                </m:accPr>
                <m:e>
                  <m:r>
                    <m:rPr>
                      <m:nor/>
                      <m:sty m:val="p"/>
                    </m:rPr>
                    <m:t>EggNumber</m:t>
                  </m:r>
                </m:e>
              </m:acc>
            </m:e>
            <m:sub>
              <m:r>
                <m:t>i</m:t>
              </m:r>
            </m:sub>
          </m:sSub>
        </m:oMath>
      </m:oMathPara>
    </w:p>
    <w:p>
      <w:pPr>
        <w:pStyle w:val="Compact"/>
        <w:numPr>
          <w:ilvl w:val="0"/>
          <w:numId w:val="1002"/>
        </w:numPr>
      </w:pPr>
      <w:r>
        <w:t xml:space="preserve">Between-female component</w:t>
      </w:r>
    </w:p>
    <w:p>
      <w:pPr>
        <w:pStyle w:val="FirstParagraph"/>
      </w:pPr>
      <m:oMathPara>
        <m:oMathParaPr>
          <m:jc m:val="center"/>
        </m:oMathParaPr>
        <m:oMath>
          <m:sSub>
            <m:e>
              <m:r>
                <m:rPr>
                  <m:nor/>
                  <m:sty m:val="p"/>
                </m:rPr>
                <m:t>EggNumber</m:t>
              </m:r>
            </m:e>
            <m:sub>
              <m:r>
                <m:rPr>
                  <m:nor/>
                  <m:sty m:val="p"/>
                </m:rPr>
                <m:t>between</m:t>
              </m:r>
              <m:r>
                <m:rPr>
                  <m:sty m:val="p"/>
                </m:rPr>
                <m:t>,</m:t>
              </m:r>
              <m:r>
                <m:t>i</m:t>
              </m:r>
            </m:sub>
          </m:sSub>
          <m:r>
            <m:rPr>
              <m:sty m:val="p"/>
            </m:rPr>
            <m:t>=</m:t>
          </m:r>
          <m:sSub>
            <m:e>
              <m:acc>
                <m:accPr>
                  <m:chr m:val="‾"/>
                </m:accPr>
                <m:e>
                  <m:r>
                    <m:rPr>
                      <m:nor/>
                      <m:sty m:val="p"/>
                    </m:rPr>
                    <m:t>EggNumber</m:t>
                  </m:r>
                </m:e>
              </m:acc>
            </m:e>
            <m:sub>
              <m:r>
                <m:t>i</m:t>
              </m:r>
            </m:sub>
          </m:sSub>
          <m:r>
            <m:rPr>
              <m:sty m:val="p"/>
            </m:rPr>
            <m:t>−</m:t>
          </m:r>
          <m:acc>
            <m:accPr>
              <m:chr m:val="‾"/>
            </m:accPr>
            <m:e>
              <m:r>
                <m:rPr>
                  <m:nor/>
                  <m:sty m:val="p"/>
                </m:rPr>
                <m:t>EggNumber</m:t>
              </m:r>
            </m:e>
          </m:acc>
        </m:oMath>
      </m:oMathPara>
    </w:p>
    <w:p>
      <w:pPr>
        <w:pStyle w:val="FirstParagraph"/>
      </w:pPr>
      <w:r>
        <w:t xml:space="preserve">We then fitted the following linear mixed-effects model:</w:t>
      </w:r>
    </w:p>
    <w:p>
      <w:pPr>
        <w:pStyle w:val="BodyText"/>
      </w:pPr>
      <m:oMathPara>
        <m:oMathParaPr>
          <m:jc m:val="center"/>
        </m:oMathParaPr>
        <m:oMath>
          <m:sSub>
            <m:e>
              <m:r>
                <m:rPr>
                  <m:nor/>
                  <m:sty m:val="p"/>
                </m:rPr>
                <m:t>MeanEggSize</m:t>
              </m:r>
            </m:e>
            <m:sub>
              <m:r>
                <m:t>i</m:t>
              </m:r>
              <m:r>
                <m:t>j</m:t>
              </m:r>
            </m:sub>
          </m:sSub>
          <m:r>
            <m:rPr>
              <m:sty m:val="p"/>
            </m:rPr>
            <m:t>=</m:t>
          </m:r>
          <m:sSub>
            <m:e>
              <m:r>
                <m:t>β</m:t>
              </m:r>
            </m:e>
            <m:sub>
              <m:r>
                <m:t>0</m:t>
              </m:r>
            </m:sub>
          </m:sSub>
          <m:r>
            <m:rPr>
              <m:sty m:val="p"/>
            </m:rPr>
            <m:t>+</m:t>
          </m:r>
          <m:sSub>
            <m:e>
              <m:r>
                <m:t>β</m:t>
              </m:r>
            </m:e>
            <m:sub>
              <m:r>
                <m:t>W</m:t>
              </m:r>
            </m:sub>
          </m:sSub>
          <m:r>
            <m:t> </m:t>
          </m:r>
          <m:sSub>
            <m:e>
              <m:r>
                <m:rPr>
                  <m:nor/>
                  <m:sty m:val="p"/>
                </m:rPr>
                <m:t>EggNumber</m:t>
              </m:r>
            </m:e>
            <m:sub>
              <m:r>
                <m:rPr>
                  <m:nor/>
                  <m:sty m:val="p"/>
                </m:rPr>
                <m:t>within</m:t>
              </m:r>
              <m:r>
                <m:rPr>
                  <m:sty m:val="p"/>
                </m:rPr>
                <m:t>,</m:t>
              </m:r>
              <m:r>
                <m:t>i</m:t>
              </m:r>
              <m:r>
                <m:t>j</m:t>
              </m:r>
            </m:sub>
          </m:sSub>
          <m:r>
            <m:rPr>
              <m:sty m:val="p"/>
            </m:rPr>
            <m:t>+</m:t>
          </m:r>
          <m:sSub>
            <m:e>
              <m:r>
                <m:t>β</m:t>
              </m:r>
            </m:e>
            <m:sub>
              <m:r>
                <m:t>B</m:t>
              </m:r>
            </m:sub>
          </m:sSub>
          <m:r>
            <m:t> </m:t>
          </m:r>
          <m:sSub>
            <m:e>
              <m:r>
                <m:rPr>
                  <m:nor/>
                  <m:sty m:val="p"/>
                </m:rPr>
                <m:t>EggNumber</m:t>
              </m:r>
            </m:e>
            <m:sub>
              <m:r>
                <m:rPr>
                  <m:nor/>
                  <m:sty m:val="p"/>
                </m:rPr>
                <m:t>between</m:t>
              </m:r>
              <m:r>
                <m:rPr>
                  <m:sty m:val="p"/>
                </m:rPr>
                <m:t>,</m:t>
              </m:r>
              <m:r>
                <m:t>i</m:t>
              </m:r>
            </m:sub>
          </m:sSub>
          <m:r>
            <m:rPr>
              <m:sty m:val="p"/>
            </m:rPr>
            <m:t>+</m:t>
          </m:r>
          <m:sSub>
            <m:e>
              <m:r>
                <m:t>b</m:t>
              </m:r>
            </m:e>
            <m:sub>
              <m:r>
                <m:t>0</m:t>
              </m:r>
              <m:r>
                <m:t>i</m:t>
              </m:r>
            </m:sub>
          </m:sSub>
          <m:r>
            <m:rPr>
              <m:sty m:val="p"/>
            </m:rPr>
            <m:t>+</m:t>
          </m:r>
          <m:sSub>
            <m:e>
              <m:r>
                <m:t>ε</m:t>
              </m:r>
            </m:e>
            <m:sub>
              <m:r>
                <m:t>i</m:t>
              </m:r>
              <m:r>
                <m:t>j</m:t>
              </m:r>
            </m:sub>
          </m:sSub>
        </m:oMath>
      </m:oMathPara>
    </w:p>
    <w:p>
      <w:pPr>
        <w:pStyle w:val="FirstParagraph"/>
      </w:pPr>
      <w:r>
        <w:t xml:space="preserve">with</w:t>
      </w:r>
    </w:p>
    <w:p>
      <w:pPr>
        <w:pStyle w:val="BodyText"/>
      </w:pPr>
      <m:oMathPara>
        <m:oMathParaPr>
          <m:jc m:val="center"/>
        </m:oMathParaPr>
        <m:oMath>
          <m:sSub>
            <m:e>
              <m:r>
                <m:t>b</m:t>
              </m:r>
            </m:e>
            <m:sub>
              <m:r>
                <m:t>0</m:t>
              </m:r>
              <m:r>
                <m:t>i</m:t>
              </m:r>
            </m:sub>
          </m:sSub>
          <m:r>
            <m:rPr>
              <m:sty m:val="p"/>
            </m:rPr>
            <m:t>∼</m:t>
          </m:r>
          <m:r>
            <m:rPr>
              <m:sty m:val="p"/>
              <m:scr m:val="script"/>
            </m:rPr>
            <m:t>N</m:t>
          </m:r>
          <m:d>
            <m:dPr>
              <m:begChr m:val="("/>
              <m:sepChr m:val=""/>
              <m:endChr m:val=")"/>
              <m:grow/>
            </m:dPr>
            <m:e>
              <m:r>
                <m:t>0</m:t>
              </m:r>
              <m:r>
                <m:rPr>
                  <m:sty m:val="p"/>
                </m:rPr>
                <m:t>,</m:t>
              </m:r>
              <m:sSubSup>
                <m:e>
                  <m:r>
                    <m:t>σ</m:t>
                  </m:r>
                </m:e>
                <m:sub>
                  <m:r>
                    <m:rPr>
                      <m:nor/>
                      <m:sty m:val="p"/>
                    </m:rPr>
                    <m:t>id</m:t>
                  </m:r>
                </m:sub>
                <m:sup>
                  <m:r>
                    <m:t>2</m:t>
                  </m:r>
                </m:sup>
              </m:sSubSup>
            </m:e>
          </m:d>
          <m:r>
            <m:rPr>
              <m:sty m:val="p"/>
            </m:rPr>
            <m:t>,</m:t>
          </m:r>
          <m:r>
            <m:t>  </m:t>
          </m:r>
          <m:sSub>
            <m:e>
              <m:r>
                <m:t>ε</m:t>
              </m:r>
            </m:e>
            <m:sub>
              <m:r>
                <m:t>i</m:t>
              </m:r>
              <m:r>
                <m:t>j</m:t>
              </m:r>
            </m:sub>
          </m:sSub>
          <m:r>
            <m:rPr>
              <m:sty m:val="p"/>
            </m:rPr>
            <m:t>∼</m:t>
          </m:r>
          <m:r>
            <m:rPr>
              <m:sty m:val="p"/>
              <m:scr m:val="script"/>
            </m:rPr>
            <m:t>N</m:t>
          </m:r>
          <m:d>
            <m:dPr>
              <m:begChr m:val="("/>
              <m:sepChr m:val=""/>
              <m:endChr m:val=")"/>
              <m:grow/>
            </m:dPr>
            <m:e>
              <m:r>
                <m:t>0</m:t>
              </m:r>
              <m:r>
                <m:rPr>
                  <m:sty m:val="p"/>
                </m:rPr>
                <m:t>,</m:t>
              </m:r>
              <m:sSup>
                <m:e>
                  <m:r>
                    <m:t>σ</m:t>
                  </m:r>
                </m:e>
                <m:sup>
                  <m:r>
                    <m:t>2</m:t>
                  </m:r>
                </m:sup>
              </m:sSup>
            </m:e>
          </m:d>
        </m:oMath>
      </m:oMathPara>
    </w:p>
    <w:p>
      <w:pPr>
        <w:pStyle w:val="FirstParagraph"/>
      </w:pPr>
      <w:r>
        <w:t xml:space="preserve">The coefficient</w:t>
      </w:r>
      <w:r>
        <w:t xml:space="preserve"> </w:t>
      </w:r>
      <m:oMath>
        <m:sSub>
          <m:e>
            <m:r>
              <m:t>β</m:t>
            </m:r>
          </m:e>
          <m:sub>
            <m:r>
              <m:t>W</m:t>
            </m:r>
          </m:sub>
        </m:sSub>
      </m:oMath>
      <w:r>
        <w:t xml:space="preserve"> </w:t>
      </w:r>
      <w:r>
        <w:t xml:space="preserve">estimates the within-female (plastic) effect of egg number on egg size, whereas</w:t>
      </w:r>
      <w:r>
        <w:t xml:space="preserve"> </w:t>
      </w:r>
      <m:oMath>
        <m:sSub>
          <m:e>
            <m:r>
              <m:t>β</m:t>
            </m:r>
          </m:e>
          <m:sub>
            <m:r>
              <m:t>B</m:t>
            </m:r>
          </m:sub>
        </m:sSub>
      </m:oMath>
      <w:r>
        <w:t xml:space="preserve"> </w:t>
      </w:r>
      <w:r>
        <w:t xml:space="preserve">estimates the between-female (strategic) effect.</w:t>
      </w:r>
    </w:p>
    <w:p>
      <w:pPr>
        <w:pStyle w:val="BodyText"/>
      </w:pPr>
      <w:r>
        <w:t xml:space="preserve">Weakly informative priors were specified for all model parameters to regularize estimation while remaining minimally restrictive. Fixed effects were assigned zero-centered normal priors. Standard deviations of random effects were assigned exponential priors to constrain variance parameters to positive values while discouraging unrealistically large estimates. Correlation matrices among random effects were assigned LKJ priors to provide weak regularization of covariance structures.All models were fitted using Markov chain Monte Carlo (MCMC) sampling with four independent chains and 4,000 iterations to ensure adequate posterior exploration. Convergence was evaluated using the potential scale reduction factor (</w:t>
      </w:r>
      <m:oMath>
        <m:acc>
          <m:accPr>
            <m:chr m:val="̂"/>
          </m:accPr>
          <m:e>
            <m:r>
              <m:t>R</m:t>
            </m:r>
          </m:e>
        </m:acc>
      </m:oMath>
      <w:r>
        <w:t xml:space="preserve"> </w:t>
      </w:r>
      <w:r>
        <w:t xml:space="preserve">= 1.00), effective sample sizes (bulk and tail ESS), and visual inspection of trace plots. All reported parameters satisfied standard convergence criteria (</w:t>
      </w:r>
      <m:oMath>
        <m:acc>
          <m:accPr>
            <m:chr m:val="̂"/>
          </m:accPr>
          <m:e>
            <m:r>
              <m:t>R</m:t>
            </m:r>
          </m:e>
        </m:acc>
        <m:r>
          <m:rPr>
            <m:sty m:val="p"/>
          </m:rPr>
          <m:t>≈</m:t>
        </m:r>
        <m:r>
          <m:t>1.00</m:t>
        </m:r>
      </m:oMath>
      <w:r>
        <w:t xml:space="preserve">). Parameter estimates are presented as posterior means with 95% credible intervals derived from the posterior distributions. Inference was based on CrIs that did not include zero.</w:t>
      </w:r>
    </w:p>
    <w:p>
      <w:pPr>
        <w:pStyle w:val="BodyText"/>
      </w:pPr>
      <w:r>
        <w:t xml:space="preserve">I examined whether the first and second clutches of eggs differed in egg size variation among (</w:t>
      </w:r>
      <w:r>
        <w:rPr>
          <w:i/>
          <w:iCs/>
        </w:rPr>
        <w:t xml:space="preserve">V</w:t>
      </w:r>
      <w:r>
        <w:rPr>
          <w:vertAlign w:val="subscript"/>
        </w:rPr>
        <w:t xml:space="preserve">among</w:t>
      </w:r>
      <w:r>
        <w:t xml:space="preserve">) and within (</w:t>
      </w:r>
      <w:r>
        <w:rPr>
          <w:i/>
          <w:iCs/>
        </w:rPr>
        <w:t xml:space="preserve">V</w:t>
      </w:r>
      <w:r>
        <w:rPr>
          <w:vertAlign w:val="subscript"/>
        </w:rPr>
        <w:t xml:space="preserve">within</w:t>
      </w:r>
      <w:r>
        <w:t xml:space="preserve">) females by constructing a univariate hierarchical linear mixed-effects model with scaled mean egg perimeter as the response variable, clutch (first or second) as a fixed effect, and female body size as a continuous covariate. I also included, as random effects, a random slope for each clutch for each female. In the dispersion part of the model, I included clutch as a fixed effect to estimate the within-individual (i.e. residual) variance in egg size for each clutch. I then tested whether the first and second clutch differed in egg size at the among- and within-female levels.</w:t>
      </w:r>
    </w:p>
    <w:bookmarkEnd w:id="29"/>
    <w:bookmarkEnd w:id="30"/>
    <w:bookmarkStart w:id="31" w:name="results"/>
    <w:p>
      <w:pPr>
        <w:pStyle w:val="Heading1"/>
      </w:pPr>
      <w:r>
        <w:t xml:space="preserve">Results</w:t>
      </w:r>
    </w:p>
    <w:p>
      <w:pPr>
        <w:pStyle w:val="FirstParagraph"/>
      </w:pPr>
      <w:r>
        <w:t xml:space="preserve">Results</w:t>
      </w:r>
      <w:r>
        <w:t xml:space="preserve"> </w:t>
      </w:r>
      <w:r>
        <w:t xml:space="preserve">Effect of clutch order on egg size and number</w:t>
      </w:r>
      <w:r>
        <w:t xml:space="preserve"> </w:t>
      </w:r>
      <w:r>
        <w:t xml:space="preserve">Both egg number and egg size declined in the second clutch. In the multivariate Gaussian–Poisson model, egg size was smaller in clutch two (x̄ ± SE = 3.41 ± 0.03) relative to clutch one (3.54 ± 0.03; β = −0.12, 95% CrI [−0.21, −0.04]). Egg number also declined substantially (clutch one: 51.55 ± 2.49; clutch two: 34.14 ± 2.65; log-scale β = −0.41, 95% CrI [−0.48, −0.34]), corresponding to an approximate 34% reduction on the natural scale (e^(−0.41) ≈ 0.66).</w:t>
      </w:r>
      <w:r>
        <w:t xml:space="preserve"> </w:t>
      </w:r>
      <w:r>
        <w:t xml:space="preserve">Among-female variation remained detectable for both egg size (SD = 0.091, 95% CrI [0.009, 0.165]) and egg number (SD = 0.355, 95% CrI [0.273, 0.460]), indicating persistent heterogeneity among females across broods.</w:t>
      </w:r>
      <w:r>
        <w:t xml:space="preserve"> </w:t>
      </w:r>
      <w:r>
        <w:t xml:space="preserve">Correlations between egg number and egg size</w:t>
      </w:r>
      <w:r>
        <w:t xml:space="preserve"> </w:t>
      </w:r>
      <w:r>
        <w:t xml:space="preserve">Across all observations, the raw Pearson correlation between egg number and egg size was weak and close to zero (r_raw = −0.04, 95% CI [−0.25, 0.19]), suggesting no clear phenotypic association when hierarchical structure was ignored.</w:t>
      </w:r>
      <w:r>
        <w:t xml:space="preserve"> </w:t>
      </w:r>
      <w:r>
        <w:t xml:space="preserve">In contrast, the between-female Pearson correlation calculated from female means was moderate and negative (r_between = −0.31, 95% CI [−0.55, −0.02]). Females that produced more eggs on average tended to lay smaller eggs.</w:t>
      </w:r>
      <w:r>
        <w:t xml:space="preserve"> </w:t>
      </w:r>
      <w:r>
        <w:t xml:space="preserve">The multivariate Gaussian model partitioned covariation into among-female and residual components. After accounting for female identity, the residual (within-female) correlation between egg number and egg size was effectively zero and highly uncertain (r_within = 0.0025, 95% CrI [−0.86, 0.85]). Thus, apparent phenotypic independence masked a moderate negative association among females but no detectable clutch-level trade-off within females.</w:t>
      </w:r>
      <w:r>
        <w:t xml:space="preserve"> </w:t>
      </w:r>
      <w:r>
        <w:t xml:space="preserve">Within–between mixed-effects models</w:t>
      </w:r>
      <w:r>
        <w:t xml:space="preserve"> </w:t>
      </w:r>
      <w:r>
        <w:t xml:space="preserve">In the within–between mixed-effects model, egg size varied among females (random-intercept SD = 0.07, 95% CrI [0.00, 0.14]).</w:t>
      </w:r>
      <w:r>
        <w:t xml:space="preserve"> </w:t>
      </w:r>
      <w:r>
        <w:t xml:space="preserve">The within-female effect of egg number on egg size was small and uncertain (β_W = 0.0027, 95% CrI [−0.0006, 0.0057]). On the natural scale, this corresponds to an increase of approximately 0.027 units in egg size for every additional 10 eggs within a female—an effect that was not credibly different from zero.</w:t>
      </w:r>
      <w:r>
        <w:t xml:space="preserve"> </w:t>
      </w:r>
      <w:r>
        <w:t xml:space="preserve">In contrast, the between-female effect was negative (β_B = −0.0038, 95% CrI [−0.0076, 0.0000]). Females differing by 10 eggs in mean clutch size differed by approximately 0.038 units in egg size. Although the credible interval extended to zero, the posterior distribution was predominantly negative, consistent with a modest among-female trade-off.</w:t>
      </w:r>
      <w:r>
        <w:t xml:space="preserve"> </w:t>
      </w:r>
      <w:r>
        <w:t xml:space="preserve">Standardized coefficients reinforced the difference in magnitude between hierarchical levels. The standardized within-female effect was positive but uncertain (β_W,standardized = 0.17, 95% CrI [−0.04, 0.36]), whereas the standardized between-female effect was negative and its credible interval did not overlap zero (β_B,standardized = −0.23, 95% CrI [−0.452, −0.002]). Thus, the negative association was stronger and more consistent among females than within females.</w:t>
      </w:r>
      <w:r>
        <w:t xml:space="preserve"> </w:t>
      </w:r>
      <w:r>
        <w:t xml:space="preserve">Allowing within-female slopes to vary among females produced similar fixed-effect estimates (β_W = 0.0034, 95% CrI [−0.0004, 0.0076]; β_B = −0.0041, 95% CrI [−0.0082, −0.0002]). Variation in within-female slopes was small (SD = 0.0046, 95% CrI [0.0003, 0.0110]), and the intercept–slope correlation was highly uncertain (r = 0.20, 95% CrI [−0.67, 0.85]), indicating no strong evidence that females differed substantially in plastic allocation patterns.</w:t>
      </w:r>
      <w:r>
        <w:t xml:space="preserve"> </w:t>
      </w:r>
      <w:r>
        <w:t xml:space="preserve">Because both egg number and egg size declined across clutches, clutch order was included as an additional fixed effect to test whether it explained the weak positive within-female slope. When clutch order was accounted for, the within-female effect collapsed to zero (β_W = −0.0004, 95% CrI [−0.0045, 0.0035]). Thus, there was no evidence that females plastically traded egg number against egg size within clutches; the apparent association in the initial model was entirely explained by parallel declines from clutch one to clutch two.</w:t>
      </w:r>
      <w:r>
        <w:t xml:space="preserve"> </w:t>
      </w:r>
      <w:r>
        <w:t xml:space="preserve">Summary</w:t>
      </w:r>
      <w:r>
        <w:t xml:space="preserve"> </w:t>
      </w:r>
      <w:r>
        <w:t xml:space="preserve">Overall, egg size and egg number declined substantially between clutches. Persistent differences among females generated a moderate negative association between mean egg size and number, whereas there was no evidence for a consistent within-female trade-off once clutch order was accounted for. These results indicate that apparent number–size trade-offs arise primarily from stable among-female differences rather than dynamic allocation decisions within females.</w:t>
      </w:r>
    </w:p>
    <w:bookmarkEnd w:id="31"/>
    <w:bookmarkStart w:id="32" w:name="X2adf980c3cdf557e751ed69a8410e917bd83bb9"/>
    <w:p>
      <w:pPr>
        <w:pStyle w:val="Heading1"/>
      </w:pPr>
      <w:r>
        <w:t xml:space="preserve">Effect of clutch order on egg size and number</w:t>
      </w:r>
    </w:p>
    <w:p>
      <w:pPr>
        <w:pStyle w:val="FirstParagraph"/>
      </w:pPr>
      <w:r>
        <w:t xml:space="preserve">Both egg number and egg size declined in the second clutch. In the multivariate Gaussian–Poisson model, egg size was smaller in clutch two (</w:t>
      </w:r>
      <m:oMath>
        <m:acc>
          <m:accPr>
            <m:chr m:val="‾"/>
          </m:accPr>
          <m:e>
            <m:r>
              <m:t>x</m:t>
            </m:r>
          </m:e>
        </m:acc>
      </m:oMath>
      <w:r>
        <w:t xml:space="preserve"> </w:t>
      </w:r>
      <w:r>
        <w:t xml:space="preserve">± SE = 3.41 ± 0.03) relative to clutch one (</w:t>
      </w:r>
      <m:oMath>
        <m:acc>
          <m:accPr>
            <m:chr m:val="‾"/>
          </m:accPr>
          <m:e>
            <m:r>
              <m:t>x</m:t>
            </m:r>
          </m:e>
        </m:acc>
      </m:oMath>
      <w:r>
        <w:t xml:space="preserve"> </w:t>
      </w:r>
      <w:r>
        <w:t xml:space="preserve">= 3.54 ± 0.03;</w:t>
      </w:r>
      <w:r>
        <w:t xml:space="preserve"> </w:t>
      </w:r>
      <m:oMath>
        <m:r>
          <m:t>β</m:t>
        </m:r>
      </m:oMath>
      <w:r>
        <w:t xml:space="preserve"> </w:t>
      </w:r>
      <w:r>
        <w:t xml:space="preserve">= -0.12, 95% CrI (-0.21, -0.04). Egg number also declined significantly (clutch one:</w:t>
      </w:r>
      <w:r>
        <w:t xml:space="preserve"> </w:t>
      </w:r>
      <m:oMath>
        <m:acc>
          <m:accPr>
            <m:chr m:val="‾"/>
          </m:accPr>
          <m:e>
            <m:r>
              <m:t>x</m:t>
            </m:r>
          </m:e>
        </m:acc>
      </m:oMath>
      <w:r>
        <w:t xml:space="preserve"> </w:t>
      </w:r>
      <w:r>
        <w:t xml:space="preserve">= 51.55 ± 2.49; clutch two:</w:t>
      </w:r>
      <w:r>
        <w:t xml:space="preserve"> </w:t>
      </w:r>
      <m:oMath>
        <m:acc>
          <m:accPr>
            <m:chr m:val="‾"/>
          </m:accPr>
          <m:e>
            <m:r>
              <m:t>x</m:t>
            </m:r>
          </m:e>
        </m:acc>
      </m:oMath>
      <w:r>
        <w:t xml:space="preserve"> </w:t>
      </w:r>
      <w:r>
        <w:t xml:space="preserve">= 34.14 ± 2.65; log-scale</w:t>
      </w:r>
      <w:r>
        <w:t xml:space="preserve"> </w:t>
      </w:r>
      <m:oMath>
        <m:r>
          <m:t>β</m:t>
        </m:r>
      </m:oMath>
      <w:r>
        <w:t xml:space="preserve"> </w:t>
      </w:r>
      <w:r>
        <w:t xml:space="preserve">= -0.41, 95% CrI (-0.48, -0.34)), corresponding to an approximate 34% reduction on the natural scale (</w:t>
      </w:r>
      <m:oMath>
        <m:sSup>
          <m:e>
            <m:r>
              <m:t>e</m:t>
            </m:r>
          </m:e>
          <m:sup>
            <m:r>
              <m:rPr>
                <m:sty m:val="p"/>
              </m:rPr>
              <m:t>−</m:t>
            </m:r>
            <m:r>
              <m:t>0.410</m:t>
            </m:r>
          </m:sup>
        </m:sSup>
        <m:r>
          <m:rPr>
            <m:sty m:val="p"/>
          </m:rPr>
          <m:t>≈</m:t>
        </m:r>
        <m:r>
          <m:t>0.66</m:t>
        </m:r>
      </m:oMath>
      <w:r>
        <w:t xml:space="preserve">). Among-female variation remained detectable for both egg size (SD = 0.091, 95% CrI [0.009, 0.165]) and egg number (SD = 0.355, 95% CrI [0.273, 0.460]), indicating persistent heterogeneity across broods.</w:t>
      </w:r>
    </w:p>
    <w:bookmarkEnd w:id="32"/>
    <w:bookmarkStart w:id="33" w:name="correlations"/>
    <w:p>
      <w:pPr>
        <w:pStyle w:val="Heading1"/>
      </w:pPr>
      <w:r>
        <w:t xml:space="preserve">Correlations</w:t>
      </w:r>
    </w:p>
    <w:p>
      <w:pPr>
        <w:pStyle w:val="FirstParagraph"/>
      </w:pPr>
      <w:r>
        <w:t xml:space="preserve">Across all observations, the raw Pearson correlation between egg number and egg size was weak and close to zero (</w:t>
      </w:r>
      <m:oMath>
        <m:sSub>
          <m:e>
            <m:r>
              <m:t>r</m:t>
            </m:r>
          </m:e>
          <m:sub>
            <m:r>
              <m:t>r</m:t>
            </m:r>
            <m:r>
              <m:t>a</m:t>
            </m:r>
            <m:r>
              <m:t>w</m:t>
            </m:r>
          </m:sub>
        </m:sSub>
      </m:oMath>
      <w:r>
        <w:t xml:space="preserve"> </w:t>
      </w:r>
      <w:r>
        <w:t xml:space="preserve">= -0.04, 95% CI [-0.25, 0.19]). Thus, ignoring hierarchical structure, there was no clear phenotypic association between the two traits. The between-female Pearson correlation calculated using female means was moderate and negative (</w:t>
      </w:r>
      <m:oMath>
        <m:sSub>
          <m:e>
            <m:r>
              <m:t>r</m:t>
            </m:r>
          </m:e>
          <m:sub>
            <m:r>
              <m:t>b</m:t>
            </m:r>
            <m:r>
              <m:t>e</m:t>
            </m:r>
            <m:r>
              <m:t>t</m:t>
            </m:r>
            <m:r>
              <m:t>w</m:t>
            </m:r>
            <m:r>
              <m:t>e</m:t>
            </m:r>
            <m:r>
              <m:t>e</m:t>
            </m:r>
            <m:r>
              <m:t>n</m:t>
            </m:r>
          </m:sub>
        </m:sSub>
      </m:oMath>
      <w:r>
        <w:t xml:space="preserve"> </w:t>
      </w:r>
      <w:r>
        <w:t xml:space="preserve">= -0.31, 95% CI [-0.55, -0.02]). Females that produced more eggs on average tended to lay smaller eggs. The multivariate Gaussian model partitioned covariation into among-female and residual components. After accounting for female identity, the residual correlation between egg number and egg size was effectively zero and highly uncertain (</w:t>
      </w:r>
      <m:oMath>
        <m:sSub>
          <m:e>
            <m:r>
              <m:t>r</m:t>
            </m:r>
          </m:e>
          <m:sub>
            <m:r>
              <m:t>w</m:t>
            </m:r>
            <m:r>
              <m:t>i</m:t>
            </m:r>
            <m:r>
              <m:t>t</m:t>
            </m:r>
            <m:r>
              <m:t>h</m:t>
            </m:r>
            <m:r>
              <m:t>i</m:t>
            </m:r>
            <m:r>
              <m:t>n</m:t>
            </m:r>
          </m:sub>
        </m:sSub>
      </m:oMath>
      <w:r>
        <w:t xml:space="preserve"> </w:t>
      </w:r>
      <w:r>
        <w:t xml:space="preserve">= 0.0025, 95% CI [-0.86, 0.85]). This indicates no evidence for consistent clutch-level covariation beyond hierarchical structure.</w:t>
      </w:r>
    </w:p>
    <w:bookmarkEnd w:id="33"/>
    <w:bookmarkStart w:id="34" w:name="withinbetween-fixed-effects-models"/>
    <w:p>
      <w:pPr>
        <w:pStyle w:val="Heading1"/>
      </w:pPr>
      <w:r>
        <w:t xml:space="preserve">Within–between fixed-effects models</w:t>
      </w:r>
    </w:p>
    <w:p>
      <w:pPr>
        <w:pStyle w:val="FirstParagraph"/>
      </w:pPr>
      <w:r>
        <w:t xml:space="preserve">In the within–between mixed-effects model, egg size varied among females (random-intercept SD = 0.07, 95% CrI [0.00, 0.14]). The within-female effect of egg number on egg size was small and uncertain (</w:t>
      </w:r>
      <m:oMath>
        <m:sSub>
          <m:e>
            <m:r>
              <m:t>β</m:t>
            </m:r>
          </m:e>
          <m:sub>
            <m:r>
              <m:t>W</m:t>
            </m:r>
          </m:sub>
        </m:sSub>
      </m:oMath>
      <w:r>
        <w:t xml:space="preserve"> </w:t>
      </w:r>
      <w:r>
        <w:t xml:space="preserve">= 0.0027, 95% CrI [-0.0006, 0.0057]). In contrast, the between-female effect was negative and its credible interval narrowly excluded zero (</w:t>
      </w:r>
      <m:oMath>
        <m:sSub>
          <m:e>
            <m:r>
              <m:t>β</m:t>
            </m:r>
          </m:e>
          <m:sub>
            <m:r>
              <m:t>B</m:t>
            </m:r>
          </m:sub>
        </m:sSub>
      </m:oMath>
      <w:r>
        <w:t xml:space="preserve"> </w:t>
      </w:r>
      <w:r>
        <w:t xml:space="preserve">= -0.0038, 95% CrI [-0.0076, 0.0000]). Allowing within-female slopes to vary among females produced similar fixed-effect estimates (</w:t>
      </w:r>
      <m:oMath>
        <m:sSub>
          <m:e>
            <m:r>
              <m:t>β</m:t>
            </m:r>
          </m:e>
          <m:sub>
            <m:r>
              <m:t>W</m:t>
            </m:r>
          </m:sub>
        </m:sSub>
      </m:oMath>
      <w:r>
        <w:t xml:space="preserve"> </w:t>
      </w:r>
      <w:r>
        <w:t xml:space="preserve">= 0.0034, 95% CrI [-0.0004, 0.0076];</w:t>
      </w:r>
      <w:r>
        <w:t xml:space="preserve"> </w:t>
      </w:r>
      <m:oMath>
        <m:sSub>
          <m:e>
            <m:r>
              <m:t>β</m:t>
            </m:r>
          </m:e>
          <m:sub>
            <m:r>
              <m:t>B</m:t>
            </m:r>
          </m:sub>
        </m:sSub>
      </m:oMath>
      <w:r>
        <w:t xml:space="preserve"> </w:t>
      </w:r>
      <w:r>
        <w:t xml:space="preserve">= -0.0041, 95% CrI [-0.0082, -0.0002]). The variance in within-female slopes was small (SD = 0.0046, 95% CrI [0.0003, 0.0110]), and the intercept–slope correlation was highly uncertain (</w:t>
      </w:r>
      <w:r>
        <w:rPr>
          <w:i/>
          <w:iCs/>
        </w:rPr>
        <w:t xml:space="preserve">r</w:t>
      </w:r>
      <w:r>
        <w:t xml:space="preserve"> </w:t>
      </w:r>
      <w:r>
        <w:t xml:space="preserve">= 0.20, 95% CrI [-0.67, 0.85]).</w:t>
      </w:r>
    </w:p>
    <w:p>
      <w:pPr>
        <w:pStyle w:val="BodyText"/>
      </w:pPr>
      <w:r>
        <w:t xml:space="preserve">Standardized coefficients confirmed the difference in magnitude between hierarchical levels. The standardized within-female effect was positive but uncertain (</w:t>
      </w:r>
      <m:oMath>
        <m:sSub>
          <m:e>
            <m:r>
              <m:t>β</m:t>
            </m:r>
          </m:e>
          <m:sub>
            <m:r>
              <m:t>W</m:t>
            </m:r>
            <m:r>
              <m:t>s</m:t>
            </m:r>
            <m:r>
              <m:t>t</m:t>
            </m:r>
            <m:r>
              <m:t>a</m:t>
            </m:r>
            <m:r>
              <m:t>n</m:t>
            </m:r>
            <m:r>
              <m:t>d</m:t>
            </m:r>
            <m:r>
              <m:t>a</m:t>
            </m:r>
            <m:r>
              <m:t>r</m:t>
            </m:r>
            <m:r>
              <m:t>d</m:t>
            </m:r>
            <m:r>
              <m:t>i</m:t>
            </m:r>
            <m:r>
              <m:t>z</m:t>
            </m:r>
            <m:r>
              <m:t>e</m:t>
            </m:r>
            <m:r>
              <m:t>d</m:t>
            </m:r>
          </m:sub>
        </m:sSub>
      </m:oMath>
      <w:r>
        <w:t xml:space="preserve"> </w:t>
      </w:r>
      <w:r>
        <w:t xml:space="preserve">= 0.17, 95% CrI [-0.04, 0.36]). The standardized between-female effect was negative and did not overlap zero (</w:t>
      </w:r>
      <m:oMath>
        <m:sSub>
          <m:e>
            <m:r>
              <m:t>β</m:t>
            </m:r>
          </m:e>
          <m:sub>
            <m:r>
              <m:t>B</m:t>
            </m:r>
            <m:r>
              <m:t>s</m:t>
            </m:r>
            <m:r>
              <m:t>t</m:t>
            </m:r>
            <m:r>
              <m:t>a</m:t>
            </m:r>
            <m:r>
              <m:t>n</m:t>
            </m:r>
            <m:r>
              <m:t>d</m:t>
            </m:r>
            <m:r>
              <m:t>a</m:t>
            </m:r>
            <m:r>
              <m:t>r</m:t>
            </m:r>
            <m:r>
              <m:t>d</m:t>
            </m:r>
            <m:r>
              <m:t>i</m:t>
            </m:r>
            <m:r>
              <m:t>z</m:t>
            </m:r>
            <m:r>
              <m:t>e</m:t>
            </m:r>
            <m:r>
              <m:t>d</m:t>
            </m:r>
          </m:sub>
        </m:sSub>
      </m:oMath>
      <w:r>
        <w:t xml:space="preserve"> </w:t>
      </w:r>
      <w:r>
        <w:t xml:space="preserve">= -0.23, 95% CrI [-0.452, -0.002]). Thus, the negative association was stronger and more consistent among females than within females, a finding that supports the between-female Pearson correlation.</w:t>
      </w:r>
    </w:p>
    <w:p>
      <w:pPr>
        <w:pStyle w:val="BodyText"/>
      </w:pPr>
      <w:r>
        <w:t xml:space="preserve">Because both egg number and egg size declined across clutches, I evaluated whether clutch order explained the within-female association. When clutch-order was included as a fixed effect, the within-female slope collapsed to zero (</w:t>
      </w:r>
      <m:oMath>
        <m:sSub>
          <m:e>
            <m:r>
              <m:t>β</m:t>
            </m:r>
          </m:e>
          <m:sub>
            <m:r>
              <m:t>W</m:t>
            </m:r>
          </m:sub>
        </m:sSub>
      </m:oMath>
      <w:r>
        <w:t xml:space="preserve"> </w:t>
      </w:r>
      <w:r>
        <w:t xml:space="preserve">= -0.0004, 95% CrI [-0.0045, 0.0035]). This indicates that the small positive within-female association observed in the initial model was driven by parallel clutch-order declines in both traits rather than plastic allocation within females.</w:t>
      </w:r>
    </w:p>
    <w:bookmarkEnd w:id="34"/>
    <w:bookmarkStart w:id="35" w:name="discussion"/>
    <w:p>
      <w:pPr>
        <w:pStyle w:val="Heading1"/>
      </w:pPr>
      <w:r>
        <w:t xml:space="preserve">Discussion</w:t>
      </w:r>
    </w:p>
    <w:p>
      <w:pPr>
        <w:pStyle w:val="FirstParagraph"/>
      </w:pPr>
      <w:r>
        <w:t xml:space="preserve">My multivariate repeated-measures analysis of clutch and egg size found no evidence that female European earwigs trade off egg number and egg size. Despite failing to support general life history theory</w:t>
      </w:r>
      <w:r>
        <w:t xml:space="preserve"> </w:t>
      </w:r>
      <w:r>
        <w:t xml:space="preserve">(Roff 1992; Stearns 1992)</w:t>
      </w:r>
      <w:r>
        <w:t xml:space="preserve"> </w:t>
      </w:r>
      <w:r>
        <w:t xml:space="preserve">and contradicting the results of a previous study in this species</w:t>
      </w:r>
      <w:r>
        <w:t xml:space="preserve"> </w:t>
      </w:r>
      <w:r>
        <w:t xml:space="preserve">(Koch and Meunier 2014)</w:t>
      </w:r>
      <w:r>
        <w:t xml:space="preserve">, it is the first, to my knowledge, to partition the phenotypic correlation between egg number and size into its among- and within-individual components. Although many studies have supported the prediction that egg number and size trade off, some have not</w:t>
      </w:r>
      <w:r>
        <w:t xml:space="preserve"> </w:t>
      </w:r>
      <w:r>
        <w:t xml:space="preserve">(Roff 1992; Fox and Czesak 2000)</w:t>
      </w:r>
      <w:r>
        <w:t xml:space="preserve">.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w:t>
      </w:r>
      <w:r>
        <w:t xml:space="preserve"> </w:t>
      </w:r>
      <w:r>
        <w:t xml:space="preserve">(2014)</w:t>
      </w:r>
      <w:r>
        <w:t xml:space="preserve"> </w:t>
      </w:r>
      <w:r>
        <w:t xml:space="preserve">showed that, in an Italian population of</w:t>
      </w:r>
      <w:r>
        <w:t xml:space="preserve"> </w:t>
      </w:r>
      <w:r>
        <w:rPr>
          <w:i/>
          <w:iCs/>
        </w:rPr>
        <w:t xml:space="preserve">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w:t>
      </w:r>
      <w:r>
        <w:t xml:space="preserve"> </w:t>
      </w:r>
      <w:r>
        <w:t xml:space="preserve">(Simpson 1951)</w:t>
      </w:r>
      <w:r>
        <w:t xml:space="preserve"> </w:t>
      </w:r>
      <w:r>
        <w:t xml:space="preserve">and spurious correlations because within-individual relationships are masked by among-individual variation. Indeed, I also observed a negative, albeit weaker, correlation at the phenotypic level. However, by partitioning the variance into its among- and within-individual components, I found that females do not make the predicted trade-off. Rather, I found evidence that egg number and size are positively correlated within females.</w:t>
      </w:r>
    </w:p>
    <w:p>
      <w:pPr>
        <w:pStyle w:val="BodyText"/>
      </w:pPr>
      <w:r>
        <w:t xml:space="preserve">My study revealed that second clutches comprised, on average, fewer and smaller eggs than first clutches, which can be explained at both the proximate and ultimate levels of causation. My findings are consistent with those of another study on a Montreal population</w:t>
      </w:r>
      <w:r>
        <w:t xml:space="preserve"> </w:t>
      </w:r>
      <w:r>
        <w:t xml:space="preserve">(Tourneur and Gingras 1992)</w:t>
      </w:r>
      <w:r>
        <w:t xml:space="preserve"> </w:t>
      </w:r>
      <w:r>
        <w:t xml:space="preserve">and with one involving an Italian population</w:t>
      </w:r>
      <w:r>
        <w:t xml:space="preserve"> </w:t>
      </w:r>
      <w:r>
        <w:t xml:space="preserve">(Koch and Meunier 2014)</w:t>
      </w:r>
      <w:r>
        <w:t xml:space="preserve">. Tourneur and Gingras</w:t>
      </w:r>
      <w:r>
        <w:t xml:space="preserve"> </w:t>
      </w:r>
      <w:r>
        <w:t xml:space="preserve">(1992)</w:t>
      </w:r>
      <w:r>
        <w:t xml:space="preserve"> </w:t>
      </w:r>
      <w:r>
        <w:t xml:space="preserve">proximally attributed the fewer, smaller eggs in second clutches to ovarian structure and function in</w:t>
      </w:r>
      <w:r>
        <w:t xml:space="preserve"> </w:t>
      </w:r>
      <w:r>
        <w:rPr>
          <w:i/>
          <w:iCs/>
        </w:rPr>
        <w:t xml:space="preserve">F. auricularia</w:t>
      </w:r>
      <w:r>
        <w:t xml:space="preserve">. Specifically, they suggested that second clutches are smaller than first ones because some (or all) oviarioles become non-functional and thus produce no eggs after the first clutch. This reduction in ovariole number might explain the smaller second clutches that I observed here, but why did females not produce larger eggs and thus exhibit the expected number-size trade-off? One possibility is that females had a shallower resource pool from which to build eggs for the second clutch, for example, because they had less time to accumulate reproductive resources for the second clutch than for the first. Females in the wild presumably spent from mid-spring to mid-fall acquiring resources for reproduction, while they had only about a month in the laboratory to do so for the second one. Hence, by partitioning their fewer resources equally to each functional ovariole during their second bout of oogenesis, females produced fewer and smaller eggs than in their first clutches. This proximate explanation assumes that females use a resource-allocation strategy for eggs that does not vary across their clutches.</w:t>
      </w:r>
    </w:p>
    <w:p>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w:t>
      </w:r>
      <w:r>
        <w:t xml:space="preserve"> </w:t>
      </w:r>
      <w:r>
        <w:t xml:space="preserve">(e.g. birds: Williams 1994; amphibians: Ficetola and De Bernardi 2009; reptiles: Nelson et al. 2004; fish: Einum and Fleming 2000)</w:t>
      </w:r>
      <w:r>
        <w:t xml:space="preserve">. Although this does not appear to be the typical case in insects</w:t>
      </w:r>
      <w:r>
        <w:t xml:space="preserve"> </w:t>
      </w:r>
      <w:r>
        <w:t xml:space="preserve">(Church et al. 2019)</w:t>
      </w:r>
      <w:r>
        <w:t xml:space="preserve">, larger eggs are more likely to hatch and to produce larger nymphs in</w:t>
      </w:r>
      <w:r>
        <w:t xml:space="preserve"> </w:t>
      </w:r>
      <w:r>
        <w:rPr>
          <w:i/>
          <w:iCs/>
        </w:rPr>
        <w:t xml:space="preserve">F. auricularia</w:t>
      </w:r>
      <w:r>
        <w:t xml:space="preserve"> </w:t>
      </w:r>
      <w:r>
        <w:t xml:space="preserve">(Koch and Meunier 2014)</w:t>
      </w:r>
      <w:r>
        <w:t xml:space="preserve">, so egg size appears to ultimately have some positive fitness effects for the mother and offspring in this species. Therefore, the smaller earwig eggs in the second clutch by female</w:t>
      </w:r>
      <w:r>
        <w:t xml:space="preserve"> </w:t>
      </w:r>
      <w:r>
        <w:rPr>
          <w:i/>
          <w:iCs/>
        </w:rPr>
        <w:t xml:space="preserve">F. auricularia</w:t>
      </w:r>
      <w:r>
        <w:t xml:space="preserve"> </w:t>
      </w:r>
      <w:r>
        <w:t xml:space="preserve">might have reduced fitness, except for two extenuating factors. First, maternal care in this species likely improves the survival chances of smaller eggs</w:t>
      </w:r>
      <w:r>
        <w:t xml:space="preserve"> </w:t>
      </w:r>
      <w:r>
        <w:t xml:space="preserve">(Kölliker 2007; e.g., Boos et al. 2014)</w:t>
      </w:r>
      <w:r>
        <w:t xml:space="preserve">, and the poor outcomes commonly associated with smaller nymphs might be mitigated by maternal provisioning</w:t>
      </w:r>
      <w:r>
        <w:t xml:space="preserve"> </w:t>
      </w:r>
      <w:r>
        <w:t xml:space="preserve">(Staerkle and Kölliker 2008)</w:t>
      </w:r>
      <w:r>
        <w:t xml:space="preserve">. Second, smaller eggs tend to hatch faster as development time is positively related to egg size across animal species</w:t>
      </w:r>
      <w:r>
        <w:t xml:space="preserve"> </w:t>
      </w:r>
      <w:r>
        <w:t xml:space="preserve">(Shine 1978)</w:t>
      </w:r>
      <w:r>
        <w:t xml:space="preserve">.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w:t>
      </w:r>
      <w:r>
        <w:t xml:space="preserve"> </w:t>
      </w:r>
      <w:r>
        <w:rPr>
          <w:i/>
          <w:iCs/>
        </w:rPr>
        <w:t xml:space="preserve">F. auricularia</w:t>
      </w:r>
      <w:r>
        <w:t xml:space="preserve"> </w:t>
      </w:r>
      <w:r>
        <w:t xml:space="preserve">(Koch and Meunier 2014)</w:t>
      </w:r>
      <w:r>
        <w:t xml:space="preserve">. This latter population, however, is from a more temperate locale than Montreal, which experiences a milder climate and thus perhaps less intense selection on reduced development time. I did not find the predicted positive among-female correlation between clutch and egg size. Rather, the weak negative among-individual correlation between clutch and egg size suggests that variance in resource allocation may exceed variance in resource acquisition in this population of earwigs</w:t>
      </w:r>
      <w:r>
        <w:t xml:space="preserve"> </w:t>
      </w:r>
      <w:r>
        <w:t xml:space="preserve">(see Careau and Wilson 2017)</w:t>
      </w:r>
      <w:r>
        <w:t xml:space="preserve">. In other words, some female earwigs in my study population might prioritise investment in egg number versus egg size and vice versa. Taken together, my results resemble Careau and Wilson’s</w:t>
      </w:r>
      <w:r>
        <w:t xml:space="preserve"> </w:t>
      </w:r>
      <w:r>
        <w:t xml:space="preserve">(2017)</w:t>
      </w:r>
      <w:r>
        <w:t xml:space="preserve"> </w:t>
      </w:r>
      <w:r>
        <w:t xml:space="preserve">“sink or swim”</w:t>
      </w:r>
      <w:r>
        <w:t xml:space="preserve"> </w:t>
      </w:r>
      <w:r>
        <w:t xml:space="preserve">scenario, which is generally reserved for performance trade-offs. That is, females in my population of earwigs might ultimately produce an among-female (albeit weak) trade-off due to differences among females in how they allocate resources to clutch and egg size, with some females prioritising egg number over size, while also producing a positive residual correlation due to a combination of ovary (dis)function, and the equal apportionment of fewer resources to eggs. Further research is needed to identify the proximate mechanisms underlying the observed multilevel correlation patterns.</w:t>
      </w:r>
    </w:p>
    <w:p>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w:t>
      </w:r>
      <w:r>
        <w:t xml:space="preserve"> </w:t>
      </w:r>
      <w:r>
        <w:t xml:space="preserve">(e.g. Falconer and MacKay 1996)</w:t>
      </w:r>
      <w:r>
        <w:t xml:space="preserve">. This would not be surprising as egg size has been demonstrated to be significantly heritable in a variety of insect species, including</w:t>
      </w:r>
      <w:r>
        <w:t xml:space="preserve"> </w:t>
      </w:r>
      <w:r>
        <w:rPr>
          <w:i/>
          <w:iCs/>
        </w:rPr>
        <w:t xml:space="preserve">Callosobruchus chinensis</w:t>
      </w:r>
      <w:r>
        <w:t xml:space="preserve"> </w:t>
      </w:r>
      <w:r>
        <w:t xml:space="preserve">seed beetles</w:t>
      </w:r>
      <w:r>
        <w:t xml:space="preserve"> </w:t>
      </w:r>
      <w:r>
        <w:t xml:space="preserve">(Yanagi et al. 2006)</w:t>
      </w:r>
      <w:r>
        <w:t xml:space="preserve">,</w:t>
      </w:r>
      <w:r>
        <w:t xml:space="preserve"> </w:t>
      </w:r>
      <w:r>
        <w:rPr>
          <w:i/>
          <w:iCs/>
        </w:rPr>
        <w:t xml:space="preserve">Parnara guttata guttata</w:t>
      </w:r>
      <w:r>
        <w:t xml:space="preserve"> </w:t>
      </w:r>
      <w:r>
        <w:t xml:space="preserve">butterflies</w:t>
      </w:r>
      <w:r>
        <w:t xml:space="preserve"> </w:t>
      </w:r>
      <w:r>
        <w:t xml:space="preserve">(Seko et al. 2006)</w:t>
      </w:r>
      <w:r>
        <w:t xml:space="preserve">,</w:t>
      </w:r>
      <w:r>
        <w:t xml:space="preserve"> </w:t>
      </w:r>
      <w:r>
        <w:rPr>
          <w:i/>
          <w:iCs/>
        </w:rPr>
        <w:t xml:space="preserve">Lobesia botrana</w:t>
      </w:r>
      <w:r>
        <w:t xml:space="preserve"> </w:t>
      </w:r>
      <w:r>
        <w:t xml:space="preserve">moths</w:t>
      </w:r>
      <w:r>
        <w:t xml:space="preserve"> </w:t>
      </w:r>
      <w:r>
        <w:t xml:space="preserve">(Torres-Vila et al. 2012)</w:t>
      </w:r>
      <w:r>
        <w:t xml:space="preserve">, and spruce budworm (</w:t>
      </w:r>
      <w:r>
        <w:rPr>
          <w:i/>
          <w:iCs/>
        </w:rPr>
        <w:t xml:space="preserve">Choristoneura fumiferana</w:t>
      </w:r>
      <w:r>
        <w:t xml:space="preserve">)</w:t>
      </w:r>
      <w:r>
        <w:t xml:space="preserve"> </w:t>
      </w:r>
      <w:r>
        <w:t xml:space="preserve">(Harvey 1983)</w:t>
      </w:r>
      <w:r>
        <w:t xml:space="preserve">. Moreover, the lack of between-female variation in average egg size between first and second clutches suggests that the food-acquisition environment (i.e. wild vs. lab) had little effect on average egg size.</w:t>
      </w:r>
    </w:p>
    <w:p>
      <w:pPr>
        <w:pStyle w:val="BodyText"/>
      </w:pPr>
      <w:r>
        <w:t xml:space="preserve">In contrast, I found evidence that variation in egg size within a clutch was greater in second clutches than in first clutches, the opposite of the pattern observed in birds.</w:t>
      </w:r>
      <w:r>
        <w:t xml:space="preserve"> </w:t>
      </w:r>
      <w:r>
        <w:t xml:space="preserve">(e.g., Yosef and Zduniak 2008)</w:t>
      </w:r>
      <w:r>
        <w:t xml:space="preserve">. Empiricists have argued that lower variation in egg size within a clutch is probably linked to environmental factors and food availability. For example, desert finches (</w:t>
      </w:r>
      <w:r>
        <w:rPr>
          <w:i/>
          <w:iCs/>
        </w:rPr>
        <w:t xml:space="preserve">Rhodopsiza obsoleta</w:t>
      </w:r>
      <w:r>
        <w:t xml:space="preserve">) produced similar-sized eggs when environmental conditions were stable</w:t>
      </w:r>
      <w:r>
        <w:t xml:space="preserve"> </w:t>
      </w:r>
      <w:r>
        <w:t xml:space="preserve">(Yosef and Zduniak 2008)</w:t>
      </w:r>
      <w:r>
        <w:t xml:space="preserve">, collared flycatchers (</w:t>
      </w:r>
      <w:r>
        <w:rPr>
          <w:i/>
          <w:iCs/>
        </w:rPr>
        <w:t xml:space="preserve">Ficedula albicollis</w:t>
      </w:r>
      <w:r>
        <w:t xml:space="preserve">) produced larger eggs with the laying sequence in favourable conditions</w:t>
      </w:r>
      <w:r>
        <w:t xml:space="preserve"> </w:t>
      </w:r>
      <w:r>
        <w:t xml:space="preserve">(Hargitai et al. 2005)</w:t>
      </w:r>
      <w:r>
        <w:t xml:space="preserve">, and blue tits (</w:t>
      </w:r>
      <w:r>
        <w:rPr>
          <w:i/>
          <w:iCs/>
        </w:rPr>
        <w:t xml:space="preserve">Paris caeruleus</w:t>
      </w:r>
      <w:r>
        <w:t xml:space="preserve">) in better nutritional condition had clutches with less variation in egg size</w:t>
      </w:r>
      <w:r>
        <w:t xml:space="preserve"> </w:t>
      </w:r>
      <w:r>
        <w:t xml:space="preserve">(Nilsson and Svensson 1993)</w:t>
      </w:r>
      <w:r>
        <w:t xml:space="preserve">. Although information on intraclutch egg-size variation and its proximal drivers is scarce in insects, the same principles may apply, given that female earwigs in my study had less time to accumulate resources and maximise their body condition 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w:t>
      </w:r>
      <w:r>
        <w:t xml:space="preserve"> </w:t>
      </w:r>
      <w:r>
        <w:t xml:space="preserve">(Slagsvold et al. 1984)</w:t>
      </w:r>
      <w:r>
        <w:t xml:space="preserve">. However, it is unknown whether variation in egg size has an equivalent adaptive function in insects expressing maternal care.</w:t>
      </w:r>
    </w:p>
    <w:p>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and some evidence for an among-female trade-off. I also discovered that second clutches consist of eggs with a more variable size than first clutches, but the among-female variation in average egg size was similar between the two clutches.</w:t>
      </w:r>
    </w:p>
    <w:bookmarkEnd w:id="35"/>
    <w:bookmarkStart w:id="36" w:name="data-availability"/>
    <w:p>
      <w:pPr>
        <w:pStyle w:val="Heading1"/>
      </w:pPr>
      <w:r>
        <w:t xml:space="preserve">Data availability</w:t>
      </w:r>
    </w:p>
    <w:p>
      <w:pPr>
        <w:pStyle w:val="FirstParagraph"/>
      </w:pPr>
      <w:r>
        <w:t xml:space="preserve">Data are available through the OSF repository at 10.17605/OSF.IO/KWCS8.</w:t>
      </w:r>
    </w:p>
    <w:bookmarkEnd w:id="36"/>
    <w:bookmarkStart w:id="37" w:name="author-contributions"/>
    <w:p>
      <w:pPr>
        <w:pStyle w:val="Heading1"/>
      </w:pPr>
      <w:r>
        <w:t xml:space="preserve">Author contributions</w:t>
      </w:r>
    </w:p>
    <w:p>
      <w:pPr>
        <w:pStyle w:val="FirstParagraph"/>
      </w:pPr>
      <w:r>
        <w:t xml:space="preserve">CDK collected and analyzed the data, and wrote the manuscript.</w:t>
      </w:r>
    </w:p>
    <w:bookmarkEnd w:id="37"/>
    <w:bookmarkStart w:id="38"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8"/>
    <w:bookmarkStart w:id="39" w:name="conflict-of-interest"/>
    <w:p>
      <w:pPr>
        <w:pStyle w:val="Heading1"/>
      </w:pPr>
      <w:r>
        <w:t xml:space="preserve">Conflict of Interest</w:t>
      </w:r>
    </w:p>
    <w:p>
      <w:pPr>
        <w:pStyle w:val="FirstParagraph"/>
      </w:pPr>
      <w:r>
        <w:t xml:space="preserve">I declare no conflict of interest.</w:t>
      </w:r>
    </w:p>
    <w:bookmarkEnd w:id="39"/>
    <w:bookmarkStart w:id="40" w:name="acknowledgements"/>
    <w:p>
      <w:pPr>
        <w:pStyle w:val="Heading1"/>
      </w:pPr>
      <w:r>
        <w:t xml:space="preserve">Acknowledgements</w:t>
      </w:r>
    </w:p>
    <w:p>
      <w:pPr>
        <w:pStyle w:val="FirstParagraph"/>
      </w:pPr>
      <w:r>
        <w:t xml:space="preserve">I thank Andréanne Nault and Clara Smythe for assistance in animal care and data collection.</w:t>
      </w:r>
    </w:p>
    <w:p>
      <w:r>
        <w:br w:type="page"/>
      </w:r>
    </w:p>
    <w:bookmarkEnd w:id="40"/>
    <w:bookmarkStart w:id="92" w:name="references"/>
    <w:p>
      <w:pPr>
        <w:pStyle w:val="Heading1"/>
      </w:pPr>
      <w:r>
        <w:t xml:space="preserve">References</w:t>
      </w:r>
    </w:p>
    <w:bookmarkStart w:id="83" w:name="refs"/>
    <w:bookmarkStart w:id="41" w:name="ref-bernardo1996"/>
    <w:p>
      <w:pPr>
        <w:pStyle w:val="Bibliography"/>
      </w:pPr>
      <w:r>
        <w:t xml:space="preserve">Bernardo, J. 1996. The particular maternal effect of propagule size, especially egg size: Patterns, models, quality of evidence and interpretations. Am Zool 36:216–236.</w:t>
      </w:r>
    </w:p>
    <w:bookmarkEnd w:id="41"/>
    <w:bookmarkStart w:id="42" w:name="ref-boos2014"/>
    <w:p>
      <w:pPr>
        <w:pStyle w:val="Bibliography"/>
      </w:pPr>
      <w:r>
        <w:t xml:space="preserve">Boos, S., J. Meunier, S. Pichon, and M. Kölliker. 2014. Maternal care provides antifungal protection to eggs in the european earwig. Behav Ecol 25:754–761.</w:t>
      </w:r>
    </w:p>
    <w:bookmarkEnd w:id="42"/>
    <w:bookmarkStart w:id="43" w:name="ref-careau2017"/>
    <w:p>
      <w:pPr>
        <w:pStyle w:val="Bibliography"/>
      </w:pPr>
      <w:r>
        <w:t xml:space="preserve">Careau, V., and R. Wilson. 2017. Of uberfleas and krakens: Detecting trade-offs using mixed models. Integr Comp Biol 57:362–371.</w:t>
      </w:r>
    </w:p>
    <w:bookmarkEnd w:id="43"/>
    <w:bookmarkStart w:id="44" w:name="ref-cavaleiro2014"/>
    <w:p>
      <w:pPr>
        <w:pStyle w:val="Bibliography"/>
      </w:pPr>
      <w:r>
        <w:t xml:space="preserve">Cavaleiro, F. I., and M. J. Santos. 2014. Egg number-egg size: An important trade-off in parasite life history strategies. Int J Parasitol 44:173–182.</w:t>
      </w:r>
    </w:p>
    <w:bookmarkEnd w:id="44"/>
    <w:bookmarkStart w:id="45" w:name="ref-church2019"/>
    <w:p>
      <w:pPr>
        <w:pStyle w:val="Bibliography"/>
      </w:pPr>
      <w:r>
        <w:t xml:space="preserve">Church, S. H., S. Donoughe, B. A. S. de Medeiros, and C. G. Extavour. 2019. Insect egg size and shape evolve with ecology but not developmental rate. Nature 571:58–62.</w:t>
      </w:r>
    </w:p>
    <w:bookmarkEnd w:id="45"/>
    <w:bookmarkStart w:id="46" w:name="ref-clutton-brock1984"/>
    <w:p>
      <w:pPr>
        <w:pStyle w:val="Bibliography"/>
      </w:pPr>
      <w:r>
        <w:t xml:space="preserve">Clutton-Brock, T. H. 1984. Reproductive effort and terminal investment in iteroparous animals. Am Nat 123:212–229.</w:t>
      </w:r>
    </w:p>
    <w:bookmarkEnd w:id="46"/>
    <w:bookmarkStart w:id="47" w:name="ref-clutton-brock1991"/>
    <w:p>
      <w:pPr>
        <w:pStyle w:val="Bibliography"/>
      </w:pPr>
      <w:r>
        <w:t xml:space="preserve">Clutton-Brock, T. H. 1991.</w:t>
      </w:r>
      <w:r>
        <w:t xml:space="preserve"> </w:t>
      </w:r>
      <w:r>
        <w:t xml:space="preserve">The Evolution of Parental Care</w:t>
      </w:r>
      <w:r>
        <w:t xml:space="preserve">. Princeton University Press.</w:t>
      </w:r>
    </w:p>
    <w:bookmarkEnd w:id="47"/>
    <w:bookmarkStart w:id="48" w:name="ref-einum2000"/>
    <w:p>
      <w:pPr>
        <w:pStyle w:val="Bibliography"/>
      </w:pPr>
      <w:r>
        <w:t xml:space="preserve">Einum, S., and I. A. Fleming. 2000. Highly fecund mothers sacrifice offspring survival to maximize fitness. Nature 405:565–567.</w:t>
      </w:r>
    </w:p>
    <w:bookmarkEnd w:id="48"/>
    <w:bookmarkStart w:id="49" w:name="ref-falconer1996"/>
    <w:p>
      <w:pPr>
        <w:pStyle w:val="Bibliography"/>
      </w:pPr>
      <w:r>
        <w:t xml:space="preserve">Falconer, D. S., and T. F. C. MacKay. 1996.</w:t>
      </w:r>
      <w:r>
        <w:t xml:space="preserve"> </w:t>
      </w:r>
      <w:r>
        <w:t xml:space="preserve">An Introduction Quantitative Genetics</w:t>
      </w:r>
      <w:r>
        <w:t xml:space="preserve">. Pearson Education Limited, Essex, England.</w:t>
      </w:r>
    </w:p>
    <w:bookmarkEnd w:id="49"/>
    <w:bookmarkStart w:id="50" w:name="ref-ficetola2009"/>
    <w:p>
      <w:pPr>
        <w:pStyle w:val="Bibliography"/>
      </w:pPr>
      <w:r>
        <w:t xml:space="preserve">Ficetola, G. F., and F. De Bernardi. 2009. Offspring size and survival in the frog rana latastei: From among-population to within-clutch variation. Biol J Linn Soc 97:845–853.</w:t>
      </w:r>
    </w:p>
    <w:bookmarkEnd w:id="50"/>
    <w:bookmarkStart w:id="51" w:name="ref-fox2000"/>
    <w:p>
      <w:pPr>
        <w:pStyle w:val="Bibliography"/>
      </w:pPr>
      <w:r>
        <w:t xml:space="preserve">Fox, C. W., and M. E. Czesak. 2000. Evolutionary ecology of progeny size in arthropods. Annu Rev Entomol 45:341–369.</w:t>
      </w:r>
    </w:p>
    <w:bookmarkEnd w:id="51"/>
    <w:bookmarkStart w:id="52" w:name="ref-hargitai2005"/>
    <w:p>
      <w:pPr>
        <w:pStyle w:val="Bibliography"/>
      </w:pPr>
      <w:r>
        <w:t xml:space="preserve">Hargitai, R., J. Török, L. Tóth, G. Hegyi, B. Rosivall, B. Szigeti, and E. Szöllősi. 2005. Effects of environmental conditions and parental quality on inter-and intraclutch egg-size variation in the collared flycatcher (ficedula albicollis). The Auk 122:509–522.</w:t>
      </w:r>
    </w:p>
    <w:bookmarkEnd w:id="52"/>
    <w:bookmarkStart w:id="53" w:name="ref-harvey1983"/>
    <w:p>
      <w:pPr>
        <w:pStyle w:val="Bibliography"/>
      </w:pPr>
      <w:r>
        <w:t xml:space="preserve">Harvey, G. T. 1983. Environmental and genetic effects on mean egg weight in spruce budworm (lepidoptera: tortricidae). The Canadian Entomologist 115:1109–1117.</w:t>
      </w:r>
    </w:p>
    <w:bookmarkEnd w:id="53"/>
    <w:bookmarkStart w:id="54" w:name="ref-kelly2014"/>
    <w:p>
      <w:pPr>
        <w:pStyle w:val="Bibliography"/>
      </w:pPr>
      <w:r>
        <w:t xml:space="preserve">Kelly, C. D., B. Tawes, and A. Worthington. 2014. Evaluating indices of body condition in two cricket species. Ecology and Evolution 4:4476–4487.</w:t>
      </w:r>
    </w:p>
    <w:bookmarkEnd w:id="54"/>
    <w:bookmarkStart w:id="55" w:name="ref-koch2014"/>
    <w:p>
      <w:pPr>
        <w:pStyle w:val="Bibliography"/>
      </w:pPr>
      <w:r>
        <w:t xml:space="preserve">Koch, L. K., and J. Meunier. 2014. Mother and offspring fitness in an insect with maternal care: Phenotypic trade-offs between egg number, egg mass and egg care. BMC Evol Biol 14:125.</w:t>
      </w:r>
    </w:p>
    <w:bookmarkEnd w:id="55"/>
    <w:bookmarkStart w:id="56" w:name="ref-kolliker2007"/>
    <w:p>
      <w:pPr>
        <w:pStyle w:val="Bibliography"/>
      </w:pPr>
      <w:r>
        <w:t xml:space="preserve">Kölliker, M. 2007. Benefits and costs of earwig (forficula auricularia) family life. Behav Ecol Sociobiol 61:1489–1497.</w:t>
      </w:r>
    </w:p>
    <w:bookmarkEnd w:id="56"/>
    <w:bookmarkStart w:id="57" w:name="ref-meunier2024"/>
    <w:p>
      <w:pPr>
        <w:pStyle w:val="Bibliography"/>
      </w:pPr>
      <w:r>
        <w:t xml:space="preserve">Meunier, J. 2024. The biology and social life of earwigs (dermaptera). Annu Rev Entomol 69:259–276.</w:t>
      </w:r>
    </w:p>
    <w:bookmarkEnd w:id="57"/>
    <w:bookmarkStart w:id="58" w:name="ref-nelson2004"/>
    <w:p>
      <w:pPr>
        <w:pStyle w:val="Bibliography"/>
      </w:pPr>
      <w:r>
        <w:t xml:space="preserve">Nelson, N. J., M. B. Thompson, S. Pledger, S. N. Keall, and C. H. Daugherty. 2004. Egg mass determines hatchling size, and incubation temperature influences post‐hatching growth, of tuatara sphenodon punctatus. J Zool 263:77–87.</w:t>
      </w:r>
    </w:p>
    <w:bookmarkEnd w:id="58"/>
    <w:bookmarkStart w:id="59" w:name="ref-nilsson1993"/>
    <w:p>
      <w:pPr>
        <w:pStyle w:val="Bibliography"/>
      </w:pPr>
      <w:r>
        <w:t xml:space="preserve">Nilsson, J. ‐Å., and E. Svensson. 1993. Causes and consequences of egg mass variation between and within blue tit clutches. J Zool 230:469–481.</w:t>
      </w:r>
    </w:p>
    <w:bookmarkEnd w:id="59"/>
    <w:bookmarkStart w:id="60" w:name="ref-parker1982"/>
    <w:p>
      <w:pPr>
        <w:pStyle w:val="Bibliography"/>
      </w:pPr>
      <w:r>
        <w:t xml:space="preserve">Parker, G. A. 1982. Why are there so many tiny sperm? Sperm competition and the maintenance of two sexes. J Theor Biol 96:281–294.</w:t>
      </w:r>
    </w:p>
    <w:bookmarkEnd w:id="60"/>
    <w:bookmarkStart w:id="61" w:name="ref-peig2009"/>
    <w:p>
      <w:pPr>
        <w:pStyle w:val="Bibliography"/>
      </w:pPr>
      <w:r>
        <w:t xml:space="preserve">Peig, J., and A. J. Green. 2009. New perspectives for estimating body condition from mass/length data: The scaled mass index as an alternative method. Oikos 118:1883–1891.</w:t>
      </w:r>
    </w:p>
    <w:bookmarkEnd w:id="61"/>
    <w:bookmarkStart w:id="62" w:name="ref-peig2010"/>
    <w:p>
      <w:pPr>
        <w:pStyle w:val="Bibliography"/>
      </w:pPr>
      <w:r>
        <w:t xml:space="preserve">Peig, J., and A. J. Green. 2010. The paradigm of body condition: A critical reappraisal of current methods based on mass and length. Funct Ecol 24:1323–1332.</w:t>
      </w:r>
    </w:p>
    <w:bookmarkEnd w:id="62"/>
    <w:bookmarkStart w:id="63"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63"/>
    <w:bookmarkStart w:id="64" w:name="ref-reznick2000"/>
    <w:p>
      <w:pPr>
        <w:pStyle w:val="Bibliography"/>
      </w:pPr>
      <w:r>
        <w:t xml:space="preserve">Reznick, D., L. Nunney, and A. Tessier. 2000. Big houses, big cars, superfleas and the costs of reproduction. Trends Ecol Evol 15:421–425.</w:t>
      </w:r>
    </w:p>
    <w:bookmarkEnd w:id="64"/>
    <w:bookmarkStart w:id="65"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65"/>
    <w:bookmarkStart w:id="66" w:name="ref-schindelin2012"/>
    <w:p>
      <w:pPr>
        <w:pStyle w:val="Bibliography"/>
      </w:pPr>
      <w:r>
        <w:t xml:space="preserve">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bookmarkEnd w:id="66"/>
    <w:bookmarkStart w:id="67" w:name="ref-seko2006"/>
    <w:p>
      <w:pPr>
        <w:pStyle w:val="Bibliography"/>
      </w:pPr>
      <w:r>
        <w:t xml:space="preserve">Seko, T., T. Miyatake, S. Fujioka, and F. Nakasuji. 2006. Genetic and environmental sources of egg size, fecundity and body size in the migrant skipper, parnara guttata guttata (lepidoptera: hesperiidae). Popul Ecol 48:225–232.</w:t>
      </w:r>
    </w:p>
    <w:bookmarkEnd w:id="67"/>
    <w:bookmarkStart w:id="68" w:name="ref-shine1978"/>
    <w:p>
      <w:pPr>
        <w:pStyle w:val="Bibliography"/>
      </w:pPr>
      <w:r>
        <w:t xml:space="preserve">Shine, R. 1978. Propagule size and parental care: The</w:t>
      </w:r>
      <w:r>
        <w:t xml:space="preserve"> </w:t>
      </w:r>
      <w:r>
        <w:t xml:space="preserve">“safe harbor”</w:t>
      </w:r>
      <w:r>
        <w:t xml:space="preserve"> </w:t>
      </w:r>
      <w:r>
        <w:t xml:space="preserve">hypothesis. J Theor Biol 75:417–424.</w:t>
      </w:r>
    </w:p>
    <w:bookmarkEnd w:id="68"/>
    <w:bookmarkStart w:id="69" w:name="ref-simpson1951"/>
    <w:p>
      <w:pPr>
        <w:pStyle w:val="Bibliography"/>
      </w:pPr>
      <w:r>
        <w:t xml:space="preserve">Simpson, E. H. 1951. The interpretation of interaction in contingency tables. Journal of the Royal Statistical Society: Series B (Methodological) 13:238–241.</w:t>
      </w:r>
    </w:p>
    <w:bookmarkEnd w:id="69"/>
    <w:bookmarkStart w:id="70" w:name="ref-slagsvold1984"/>
    <w:p>
      <w:pPr>
        <w:pStyle w:val="Bibliography"/>
      </w:pPr>
      <w:r>
        <w:t xml:space="preserve">Slagsvold, T., J. Sandvik, G. Rofstad, Ö. Lorentsen, and M. Husby. 1984. On the adaptive value of intraclutch egg-size variation in birds. The Auk 101:685–697.</w:t>
      </w:r>
    </w:p>
    <w:bookmarkEnd w:id="70"/>
    <w:bookmarkStart w:id="71" w:name="ref-smith1974"/>
    <w:p>
      <w:pPr>
        <w:pStyle w:val="Bibliography"/>
      </w:pPr>
      <w:r>
        <w:t xml:space="preserve">Smith, C. C., and S. D. Fretwell. 1974. The optimal balance between size and number of offspring. Am Nat 108:499–506.</w:t>
      </w:r>
    </w:p>
    <w:bookmarkEnd w:id="71"/>
    <w:bookmarkStart w:id="72" w:name="ref-staerkle2008"/>
    <w:p>
      <w:pPr>
        <w:pStyle w:val="Bibliography"/>
      </w:pPr>
      <w:r>
        <w:t xml:space="preserve">Staerkle, M., and M. Kölliker. 2008. Maternal food regurgitation to nymphs in earwigs (</w:t>
      </w:r>
      <w:r>
        <w:rPr>
          <w:i/>
          <w:iCs/>
        </w:rPr>
        <w:t xml:space="preserve">forficula auricularia</w:t>
      </w:r>
      <w:r>
        <w:t xml:space="preserve">). Ethology 114:844–850.</w:t>
      </w:r>
    </w:p>
    <w:bookmarkEnd w:id="72"/>
    <w:bookmarkStart w:id="73" w:name="ref-stearns1992"/>
    <w:p>
      <w:pPr>
        <w:pStyle w:val="Bibliography"/>
      </w:pPr>
      <w:r>
        <w:t xml:space="preserve">Stearns, S. C. 1992.</w:t>
      </w:r>
      <w:r>
        <w:t xml:space="preserve"> </w:t>
      </w:r>
      <w:r>
        <w:t xml:space="preserve">The Evolution of Life Histories</w:t>
      </w:r>
      <w:r>
        <w:t xml:space="preserve">. Oxford University Press.</w:t>
      </w:r>
    </w:p>
    <w:bookmarkEnd w:id="73"/>
    <w:bookmarkStart w:id="74" w:name="ref-stoffel2017"/>
    <w:p>
      <w:pPr>
        <w:pStyle w:val="Bibliography"/>
      </w:pPr>
      <w:r>
        <w:t xml:space="preserve">Stoffel, M. A., S. Nakagawa, and H. Schielzeth. 2017. Rpt</w:t>
      </w:r>
      <w:r>
        <w:t xml:space="preserve">R</w:t>
      </w:r>
      <w:r>
        <w:t xml:space="preserve">: Repeatability estimation and variance decomposition by generalized linear mixed‐effects models. Methods Ecol Evol 8:1639–1644.</w:t>
      </w:r>
    </w:p>
    <w:bookmarkEnd w:id="74"/>
    <w:bookmarkStart w:id="75" w:name="ref-torres-vila2012"/>
    <w:p>
      <w:pPr>
        <w:pStyle w:val="Bibliography"/>
      </w:pPr>
      <w:r>
        <w:t xml:space="preserve">Torres-Vila, L., E. Cruces-Caldera, M. Rodrı́guez-Molina, and L. Cauterruccio. 2012. Host plant selects for egg size in the moth lobesia botrana: Integrating reproductive and ecological trade-offs is not a simple matter. Pp. 145–167</w:t>
      </w:r>
      <w:r>
        <w:t xml:space="preserve"> </w:t>
      </w:r>
      <w:r>
        <w:rPr>
          <w:i/>
          <w:iCs/>
        </w:rPr>
        <w:t xml:space="preserve">in</w:t>
      </w:r>
      <w:r>
        <w:t xml:space="preserve"> </w:t>
      </w:r>
      <w:r>
        <w:t xml:space="preserve">L. Cauterruccio, ed. Moths: Types, ecological significance and control methods. Nova Science Publishers, New York, NY.</w:t>
      </w:r>
    </w:p>
    <w:bookmarkEnd w:id="75"/>
    <w:bookmarkStart w:id="76"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(dermaptera: Forficulidae) in three climatologically different zones of north america. The Canadian Entomologist 150:511–519.</w:t>
      </w:r>
    </w:p>
    <w:bookmarkEnd w:id="76"/>
    <w:bookmarkStart w:id="77" w:name="ref-tourneur1992"/>
    <w:p>
      <w:pPr>
        <w:pStyle w:val="Bibliography"/>
      </w:pPr>
      <w:r>
        <w:t xml:space="preserve">Tourneur, J.-C., and J. Gingras. 1992. Egg laying in a northeastern</w:t>
      </w:r>
      <w:r>
        <w:t xml:space="preserve"> </w:t>
      </w:r>
      <w:r>
        <w:t xml:space="preserve">N</w:t>
      </w:r>
      <w:r>
        <w:t xml:space="preserve">orth</w:t>
      </w:r>
      <w:r>
        <w:t xml:space="preserve"> </w:t>
      </w:r>
      <w:r>
        <w:t xml:space="preserve">A</w:t>
      </w:r>
      <w:r>
        <w:t xml:space="preserve">merican (montr</w:t>
      </w:r>
      <w:r>
        <w:t xml:space="preserve">é</w:t>
      </w:r>
      <w:r>
        <w:t xml:space="preserve">al, qu</w:t>
      </w:r>
      <w:r>
        <w:t xml:space="preserve">é</w:t>
      </w:r>
      <w:r>
        <w:t xml:space="preserve">bec) population of</w:t>
      </w:r>
      <w:r>
        <w:t xml:space="preserve"> </w:t>
      </w:r>
      <w:r>
        <w:rPr>
          <w:i/>
          <w:iCs/>
        </w:rPr>
        <w:t xml:space="preserve">forficula auricularia</w:t>
      </w:r>
      <w:r>
        <w:t xml:space="preserve"> </w:t>
      </w:r>
      <w:r>
        <w:t xml:space="preserve">l. (</w:t>
      </w:r>
      <w:r>
        <w:t xml:space="preserve">D</w:t>
      </w:r>
      <w:r>
        <w:t xml:space="preserve">ermaptera:</w:t>
      </w:r>
      <w:r>
        <w:t xml:space="preserve"> </w:t>
      </w:r>
      <w:r>
        <w:t xml:space="preserve">F</w:t>
      </w:r>
      <w:r>
        <w:t xml:space="preserve">orficulidae). The Canadian Entomologist 124:1055–1061.</w:t>
      </w:r>
    </w:p>
    <w:bookmarkEnd w:id="77"/>
    <w:bookmarkStart w:id="78" w:name="ref-vannoordwijk1986"/>
    <w:p>
      <w:pPr>
        <w:pStyle w:val="Bibliography"/>
      </w:pPr>
      <w:r>
        <w:t xml:space="preserve">Van Noordwijk, A. J., and G. de Jong. 1986. Acquisition and allocation of resources: Their influence on variation in life history tactics. Am Nat 128:137–142.</w:t>
      </w:r>
    </w:p>
    <w:bookmarkEnd w:id="78"/>
    <w:bookmarkStart w:id="79" w:name="ref-williams1994"/>
    <w:p>
      <w:pPr>
        <w:pStyle w:val="Bibliography"/>
      </w:pPr>
      <w:r>
        <w:t xml:space="preserve">Williams, T. D. 1994. Intraspecific variation in egg size and egg composition in birds: Effects on offspring fitness. Biol Rev Camb Philos Soc 69:35–59.</w:t>
      </w:r>
    </w:p>
    <w:bookmarkEnd w:id="79"/>
    <w:bookmarkStart w:id="80" w:name="ref-winkler1987"/>
    <w:p>
      <w:pPr>
        <w:pStyle w:val="Bibliography"/>
      </w:pPr>
      <w:r>
        <w:t xml:space="preserve">Winkler, D. W., and K. Wallin. 1987. Offspring size and number: A life history model linking effort per offspring and total effort. Am Nat 129:708–720.</w:t>
      </w:r>
    </w:p>
    <w:bookmarkEnd w:id="80"/>
    <w:bookmarkStart w:id="81" w:name="ref-yanagi2006"/>
    <w:p>
      <w:pPr>
        <w:pStyle w:val="Bibliography"/>
      </w:pPr>
      <w:r>
        <w:t xml:space="preserve">Yanagi, S., T. Oikawa, and T. Miyatake. 2006. Heritability and genetic correlation estimates for egg size and number in callosobruchus chinensis (coleoptera: bruchidae). Ann Entomol Soc Am 99:364–368.</w:t>
      </w:r>
    </w:p>
    <w:bookmarkEnd w:id="81"/>
    <w:bookmarkStart w:id="82" w:name="ref-yosef2008"/>
    <w:p>
      <w:pPr>
        <w:pStyle w:val="Bibliography"/>
      </w:pPr>
      <w:r>
        <w:t xml:space="preserve">Yosef, R., and P. Zduniak. 2008. Variation in clutch size, egg size variability and reproductive output in the desert finch (rhodospiza obsoleta). J Arid Environ 72:1631–1635.</w:t>
      </w:r>
    </w:p>
    <w:bookmarkEnd w:id="82"/>
    <w:bookmarkEnd w:id="83"/>
    <w:p>
      <w:pPr>
        <w:pStyle w:val="BodyText"/>
      </w:pPr>
      <w:r>
        <w:t xml:space="preserve">—– end of section:</w:t>
      </w:r>
    </w:p>
    <w:p>
      <w:pPr>
        <w:pStyle w:val="BodyText"/>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7" w:name="fig-one"/>
          <w:p>
            <w:pPr>
              <w:pStyle w:val="Compact"/>
              <w:jc w:val="center"/>
            </w:pPr>
            <w:r>
              <w:drawing>
                <wp:inline>
                  <wp:extent cx="3810000" cy="2540000"/>
                  <wp:effectExtent b="0" l="0" r="0" t="0"/>
                  <wp:docPr descr="" title="" id="85" name="Picture"/>
                  <a:graphic>
                    <a:graphicData uri="http://schemas.openxmlformats.org/drawingml/2006/picture">
                      <pic:pic>
                        <pic:nvPicPr>
                          <pic:cNvPr descr="figure_1.jpg" id="86" name="Picture"/>
                          <pic:cNvPicPr>
                            <a:picLocks noChangeArrowheads="1" noChangeAspect="1"/>
                          </pic:cNvPicPr>
                        </pic:nvPicPr>
                        <pic:blipFill>
                          <a:blip r:embed="rId84"/>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egg perimeter (mm) plotted against clutch size for the first (salmon) and second (blue) clutches of n = 42 female European earwigs (</w:t>
            </w:r>
            <w:r>
              <w:rPr>
                <w:i/>
                <w:iCs/>
              </w:rPr>
              <w:t xml:space="preserve">F. auricularia</w:t>
            </w:r>
            <w:r>
              <w:t xml:space="preserve">). Data are raw values.</w:t>
            </w:r>
          </w:p>
          <w:bookmarkEnd w:id="8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fig-two"/>
          <w:p>
            <w:pPr>
              <w:pStyle w:val="Compact"/>
              <w:jc w:val="center"/>
            </w:pPr>
            <w:r>
              <w:drawing>
                <wp:inline>
                  <wp:extent cx="3810000" cy="2540000"/>
                  <wp:effectExtent b="0" l="0" r="0" t="0"/>
                  <wp:docPr descr="" title="" id="89" name="Picture"/>
                  <a:graphic>
                    <a:graphicData uri="http://schemas.openxmlformats.org/drawingml/2006/picture">
                      <pic:pic>
                        <pic:nvPicPr>
                          <pic:cNvPr descr="figure_2.jpg" id="90" name="Picture"/>
                          <pic:cNvPicPr>
                            <a:picLocks noChangeArrowheads="1" noChangeAspect="1"/>
                          </pic:cNvPicPr>
                        </pic:nvPicPr>
                        <pic:blipFill>
                          <a:blip r:embed="rId88"/>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Among and (b) within-female egg size variation in the first and second clutches of n = 42 female European earwigs (</w:t>
            </w:r>
            <w:r>
              <w:rPr>
                <w:i/>
                <w:iCs/>
              </w:rPr>
              <w:t xml:space="preserve">F. auricularia</w:t>
            </w:r>
            <w:r>
              <w:t xml:space="preserve">).</w:t>
            </w:r>
          </w:p>
          <w:bookmarkEnd w:id="91"/>
        </w:tc>
      </w:tr>
    </w:tbl>
    <w:bookmarkEnd w:id="92"/>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4" Target="media/rId84.jpg" /><Relationship Type="http://schemas.openxmlformats.org/officeDocument/2006/relationships/image" Id="rId88" Target="media/rId88.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dcterms:created xsi:type="dcterms:W3CDTF">2026-02-17T20:26:15Z</dcterms:created>
  <dcterms:modified xsi:type="dcterms:W3CDTF">2026-02-17T20:26:15Z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