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11AC9" w14:textId="77777777" w:rsidR="00B71035" w:rsidRDefault="008C7843">
      <w:pPr>
        <w:pStyle w:val="Title"/>
      </w:pPr>
      <w:r>
        <w:t>Residual correlation shows that European earwigs do not trade off clutch and egg size.</w:t>
      </w:r>
    </w:p>
    <w:p w14:paraId="0C4D6BC3" w14:textId="77777777" w:rsidR="00B71035" w:rsidRPr="00FA6262" w:rsidRDefault="008C7843">
      <w:pPr>
        <w:pStyle w:val="Author"/>
        <w:rPr>
          <w:lang w:val="fr-CA"/>
        </w:rPr>
      </w:pPr>
      <w:r w:rsidRPr="00FA6262">
        <w:rPr>
          <w:lang w:val="fr-CA"/>
        </w:rPr>
        <w:t>Clint D. Kelly</w:t>
      </w:r>
      <w:proofErr w:type="gramStart"/>
      <w:r w:rsidRPr="00FA6262">
        <w:rPr>
          <w:vertAlign w:val="superscript"/>
          <w:lang w:val="fr-CA"/>
        </w:rPr>
        <w:t>1,✉</w:t>
      </w:r>
      <w:proofErr w:type="gramEnd"/>
    </w:p>
    <w:p w14:paraId="112BCA0C" w14:textId="77777777" w:rsidR="00B71035" w:rsidRPr="00FA6262" w:rsidRDefault="008C7843">
      <w:pPr>
        <w:pStyle w:val="FirstParagraph"/>
        <w:rPr>
          <w:lang w:val="fr-CA"/>
        </w:rPr>
      </w:pPr>
      <w:r w:rsidRPr="00FA6262">
        <w:rPr>
          <w:vertAlign w:val="superscript"/>
          <w:lang w:val="fr-CA"/>
        </w:rPr>
        <w:t>1</w:t>
      </w:r>
      <w:r w:rsidRPr="00FA6262">
        <w:rPr>
          <w:lang w:val="fr-CA"/>
        </w:rPr>
        <w:t xml:space="preserve"> </w:t>
      </w:r>
      <w:r w:rsidRPr="00FA6262">
        <w:rPr>
          <w:lang w:val="fr-CA"/>
        </w:rPr>
        <w:t>Département des Sciences biologiques, Université du Québec à Montréal, Montréal, Canada</w:t>
      </w:r>
    </w:p>
    <w:p w14:paraId="57F2D64C" w14:textId="77777777" w:rsidR="00B71035" w:rsidRDefault="008C7843">
      <w:pPr>
        <w:pStyle w:val="BodyText"/>
      </w:pPr>
      <w:r>
        <w:rPr>
          <w:vertAlign w:val="superscript"/>
        </w:rPr>
        <w:t>✉</w:t>
      </w:r>
      <w:r>
        <w:t xml:space="preserve"> Correspondence: </w:t>
      </w:r>
      <w:hyperlink r:id="rId7">
        <w:r>
          <w:rPr>
            <w:rStyle w:val="Hyperlink"/>
          </w:rPr>
          <w:t>Clint D. Kelly &lt;kelly.clint@uqam.ca&gt;</w:t>
        </w:r>
      </w:hyperlink>
    </w:p>
    <w:p w14:paraId="1A13F455" w14:textId="77777777" w:rsidR="00B71035" w:rsidRDefault="008C7843">
      <w:r>
        <w:br w:type="page"/>
      </w:r>
    </w:p>
    <w:p w14:paraId="0A9128BD" w14:textId="77777777" w:rsidR="00B71035" w:rsidRDefault="008C7843">
      <w:pPr>
        <w:pStyle w:val="Heading1"/>
      </w:pPr>
      <w:bookmarkStart w:id="0" w:name="abstract"/>
      <w:r>
        <w:lastRenderedPageBreak/>
        <w:t>Abstract</w:t>
      </w:r>
    </w:p>
    <w:p w14:paraId="7DD4958D" w14:textId="77777777" w:rsidR="00B71035" w:rsidRDefault="008C7843">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5F7A3995" w14:textId="77777777" w:rsidR="00B71035" w:rsidRDefault="008C7843">
      <w:r>
        <w:br w:type="page"/>
      </w:r>
    </w:p>
    <w:p w14:paraId="6EFFF09A" w14:textId="77777777" w:rsidR="00B71035" w:rsidRDefault="008C7843">
      <w:pPr>
        <w:pStyle w:val="Heading1"/>
      </w:pPr>
      <w:bookmarkStart w:id="1" w:name="introduction"/>
      <w:bookmarkEnd w:id="0"/>
      <w:r>
        <w:lastRenderedPageBreak/>
        <w:t>Introduction</w:t>
      </w:r>
    </w:p>
    <w:p w14:paraId="6BBE3E3A" w14:textId="77777777" w:rsidR="00B71035" w:rsidRDefault="008C7843">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w:t>
      </w:r>
      <w:r>
        <w:t xml:space="preserve">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w:t>
      </w:r>
      <w:r>
        <w:t>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w:t>
      </w:r>
      <w:r>
        <w:t xml:space="preserve"> This means that females that acquire more reproductive resources can produce more and larger eggs, but must nevertheless trade off size and number.</w:t>
      </w:r>
    </w:p>
    <w:p w14:paraId="7C6621B1" w14:textId="77777777" w:rsidR="00B71035" w:rsidRDefault="008C7843">
      <w:pPr>
        <w:pStyle w:val="BodyText"/>
      </w:pPr>
      <w:r>
        <w:t xml:space="preserve">Careau and Wilson (2017) argue that revealing a trade-off when contrasting processes occur at the among- and within-individual levels requires partitioning the phenotypic correlation between two competing traits into its among- and within-individual components. This can be achieved by </w:t>
      </w:r>
      <w:r>
        <w:lastRenderedPageBreak/>
        <w:t>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w:t>
      </w:r>
      <w:r>
        <w:t xml:space="preserve">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w:t>
      </w:r>
      <w:r>
        <w: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w:t>
      </w:r>
      <w:r>
        <w:t xml:space="preserve">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w:t>
      </w:r>
      <w:r>
        <w:lastRenderedPageBreak/>
        <w:t>(Clutton-Brock 1984). Fi</w:t>
      </w:r>
      <w:r>
        <w:t>nally, I explore whether eggs in first and second clutches differ in their size variation at the among- and within-female (clutch) levels (e.g. Hargitai et al. 2005).</w:t>
      </w:r>
    </w:p>
    <w:p w14:paraId="75276F6B" w14:textId="77777777" w:rsidR="00B71035" w:rsidRDefault="008C7843">
      <w:pPr>
        <w:pStyle w:val="Heading1"/>
      </w:pPr>
      <w:bookmarkStart w:id="2" w:name="methods"/>
      <w:bookmarkEnd w:id="1"/>
      <w:r>
        <w:t>Methods</w:t>
      </w:r>
    </w:p>
    <w:p w14:paraId="04EA6046" w14:textId="77777777" w:rsidR="00B71035" w:rsidRDefault="008C7843">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2E7C0F69" w14:textId="77777777" w:rsidR="00B71035" w:rsidRDefault="008C7843">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6867E88A" w14:textId="77777777" w:rsidR="00B71035" w:rsidRDefault="008C7843">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w:t>
      </w:r>
      <w:r>
        <w:t xml:space="preserve"> by 4 days.</w:t>
      </w:r>
    </w:p>
    <w:p w14:paraId="7550D537" w14:textId="77777777" w:rsidR="00B71035" w:rsidRDefault="008C7843">
      <w:pPr>
        <w:pStyle w:val="Heading3"/>
      </w:pPr>
      <w:bookmarkStart w:id="3" w:name="statistical-analysis"/>
      <w:r>
        <w:t>Statistical analysis</w:t>
      </w:r>
    </w:p>
    <w:p w14:paraId="39108C14" w14:textId="77777777" w:rsidR="00B71035" w:rsidRDefault="008C7843">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Because the measurements of my three traits were highly repeatable (pronotum length: </w:t>
      </w:r>
      <w:r>
        <w:rPr>
          <w:i/>
          <w:iCs/>
        </w:rPr>
        <w:t>R</w:t>
      </w:r>
      <w:r>
        <w:t xml:space="preserve"> [95% CI] = 0.98 [0.97, 0.99]; body mass: </w:t>
      </w:r>
      <w:r>
        <w:rPr>
          <w:i/>
          <w:iCs/>
        </w:rPr>
        <w:t>R</w:t>
      </w:r>
      <w:r>
        <w:t xml:space="preserve"> [95% CI] = 0.99 [0.988, 0.996] egg perimeter in the first brood: </w:t>
      </w:r>
      <w:r>
        <w:rPr>
          <w:i/>
          <w:iCs/>
        </w:rPr>
        <w:t>R</w:t>
      </w:r>
      <w:r>
        <w:t xml:space="preserve"> [95% CI] = 0.977 [0.976, 0.979] and in the second brood: </w:t>
      </w:r>
      <w:r>
        <w:rPr>
          <w:i/>
          <w:iCs/>
        </w:rPr>
        <w:t>R</w:t>
      </w:r>
      <w:r>
        <w:t xml:space="preserve"> [95% CI] = 0.93 [0.926, 0.937] ), I used each female</w:t>
      </w:r>
      <w:r>
        <w:t>’s mean value for each trait in all subsequent analyses.</w:t>
      </w:r>
    </w:p>
    <w:p w14:paraId="4ADAA0B9" w14:textId="77777777" w:rsidR="00B71035" w:rsidRDefault="008C7843">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(R </w:t>
      </w:r>
      <w:r>
        <w:lastRenderedPageBreak/>
        <w:t>Core Team 2025). The first PC accounted for 60.8% of the variation. I also standardised female body mass relative to body size using the scaled mass index procedure of Peig and Green (2009, 2010; see also Kelly et al. 2014).</w:t>
      </w:r>
    </w:p>
    <w:p w14:paraId="4054C1A8" w14:textId="77777777" w:rsidR="00B71035" w:rsidRDefault="008C7843">
      <w:pPr>
        <w:pStyle w:val="BodyText"/>
      </w:pPr>
      <w:r>
        <w:t xml:space="preserve">I tested whether egg number and egg size changed across successive broods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 For female </w:t>
      </w:r>
      <w:r>
        <w:rPr>
          <w:i/>
          <w:iCs/>
        </w:rPr>
        <w:t>i</w:t>
      </w:r>
      <w:r>
        <w:t xml:space="preserve"> and brood </w:t>
      </w:r>
      <w:r>
        <w:rPr>
          <w:i/>
          <w:iCs/>
        </w:rPr>
        <w:t>j</w:t>
      </w:r>
      <w:r>
        <w:t>, the model was specified as:</w:t>
      </w:r>
    </w:p>
    <w:p w14:paraId="0E962BD1" w14:textId="77777777" w:rsidR="00B71035" w:rsidRDefault="008C7843">
      <w:pPr>
        <w:pStyle w:val="Heading2"/>
      </w:pPr>
      <w:bookmarkStart w:id="4" w:name="multivariate-clutch-order-model"/>
      <w:bookmarkEnd w:id="3"/>
      <w:r>
        <w:t>Multivariate Clutch-Order Model</w:t>
      </w:r>
    </w:p>
    <w:p w14:paraId="321BA5FA" w14:textId="77777777" w:rsidR="00B71035" w:rsidRDefault="008C7843">
      <w:pPr>
        <w:pStyle w:val="FirstParagraph"/>
      </w:pPr>
      <w:r>
        <w:t xml:space="preserve">For female </w:t>
      </w:r>
      <m:oMath>
        <m:r>
          <w:rPr>
            <w:rFonts w:ascii="Cambria Math" w:hAnsi="Cambria Math"/>
          </w:rPr>
          <m:t>i</m:t>
        </m:r>
      </m:oMath>
      <w:r>
        <w:t xml:space="preserve"> and clutch </w:t>
      </w:r>
      <m:oMath>
        <m:r>
          <w:rPr>
            <w:rFonts w:ascii="Cambria Math" w:hAnsi="Cambria Math"/>
          </w:rPr>
          <m:t>j</m:t>
        </m:r>
      </m:oMath>
      <w:r>
        <w:t>, mean egg size and egg number were modelled jointly as:</w:t>
      </w:r>
    </w:p>
    <w:bookmarkStart w:id="5" w:name="eq-clutchorder"/>
    <w:p w14:paraId="69BB325F" w14:textId="77777777" w:rsidR="00B71035" w:rsidRDefault="008C7843">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e>
                </m:d>
              </m:e>
            </m:mr>
            <m:m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mr>
            <m:mr>
              <m:e>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r>
              <m:e/>
              <m:e/>
            </m:mr>
            <m:mr>
              <m:e>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e>
            </m:mr>
          </m:m>
          <m:r>
            <w:rPr>
              <w:rFonts w:ascii="Cambria Math" w:hAnsi="Cambria Math"/>
            </w:rPr>
            <m:t>  </m:t>
          </m:r>
          <m:d>
            <m:dPr>
              <m:ctrlPr>
                <w:rPr>
                  <w:rFonts w:ascii="Cambria Math" w:hAnsi="Cambria Math"/>
                </w:rPr>
              </m:ctrlPr>
            </m:dPr>
            <m:e>
              <m:r>
                <w:rPr>
                  <w:rFonts w:ascii="Cambria Math" w:hAnsi="Cambria Math"/>
                </w:rPr>
                <m:t>1</m:t>
              </m:r>
            </m:e>
          </m:d>
        </m:oMath>
      </m:oMathPara>
      <w:bookmarkEnd w:id="5"/>
    </w:p>
    <w:p w14:paraId="4D885C73" w14:textId="77777777" w:rsidR="00B71035" w:rsidRDefault="008C7843">
      <w:pPr>
        <w:pStyle w:val="FirstParagrap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oMath>
      <w:r>
        <w:t xml:space="preserve"> are female-specific random intercepts and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is the female-level variance–covariance matrix. Residual correlations between traits were not estimated (</w:t>
      </w:r>
      <w:r>
        <w:rPr>
          <w:rStyle w:val="VerbatimChar"/>
        </w:rPr>
        <w:t>set_rescor(FALSE)</w:t>
      </w:r>
      <w:r>
        <w:t>). Female identity was included as a random effect for both traits to account for repeated measures. This model tested whether egg traits systematically differed between first and second clutches while accounting for among-female variation.</w:t>
      </w:r>
    </w:p>
    <w:p w14:paraId="034F7DE0" w14:textId="77777777" w:rsidR="00B71035" w:rsidRDefault="008C7843">
      <w:pPr>
        <w:pStyle w:val="Heading2"/>
      </w:pPr>
      <w:bookmarkStart w:id="6" w:name="multilevel-correlations"/>
      <w:bookmarkEnd w:id="4"/>
      <w:r>
        <w:lastRenderedPageBreak/>
        <w:t>Multilevel correlations</w:t>
      </w:r>
    </w:p>
    <w:p w14:paraId="1B9CA28A" w14:textId="77777777" w:rsidR="00B71035" w:rsidRDefault="008C7843">
      <w:pPr>
        <w:pStyle w:val="Heading3"/>
      </w:pPr>
      <w:bookmarkStart w:id="7" w:name="raw-phenotypic-correlation"/>
      <w:r>
        <w:t>Raw phenotypic correlation</w:t>
      </w:r>
    </w:p>
    <w:p w14:paraId="63144965" w14:textId="77777777" w:rsidR="00B71035" w:rsidRDefault="008C7843">
      <w:pPr>
        <w:pStyle w:val="FirstParagraph"/>
      </w:pPr>
      <w:r>
        <w:t>I first calculated the raw phenotypic association between egg number and egg size across all observations using Pearson’s correlation coefficient (</w:t>
      </w:r>
      <w:r>
        <w:rPr>
          <w:i/>
          <w:iCs/>
        </w:rPr>
        <w:t>r</w:t>
      </w:r>
      <w:r>
        <w:t>). This estimate reflects the overall linear association between traits without accounting for repeated measures or hierarchical structure.</w:t>
      </w:r>
    </w:p>
    <w:p w14:paraId="1C50A08E" w14:textId="77777777" w:rsidR="00B71035" w:rsidRDefault="008C7843">
      <w:pPr>
        <w:pStyle w:val="Heading3"/>
      </w:pPr>
      <w:bookmarkStart w:id="8" w:name="between-female-correlation"/>
      <w:bookmarkEnd w:id="7"/>
      <w:r>
        <w:t>Between-female correlation</w:t>
      </w:r>
    </w:p>
    <w:p w14:paraId="5C2C1A89" w14:textId="77777777" w:rsidR="00B71035" w:rsidRDefault="008C7843">
      <w:pPr>
        <w:pStyle w:val="FirstParagraph"/>
      </w:pPr>
      <w:r>
        <w:t>To quantify among-female covariation, I calculated the Pearson correlation between female mean egg number and female mean egg size. Female means were calculated across broods. This approach isolates between-female covariance independent of within-female variation.</w:t>
      </w:r>
    </w:p>
    <w:p w14:paraId="2302E764" w14:textId="77777777" w:rsidR="00B71035" w:rsidRDefault="008C7843">
      <w:pPr>
        <w:pStyle w:val="Heading3"/>
      </w:pPr>
      <w:bookmarkStart w:id="9" w:name="X87e37a818f147ef2a5a26f637cd19304f3671a4"/>
      <w:bookmarkEnd w:id="8"/>
      <w:r>
        <w:t>Partitioning among- and residual covariance</w:t>
      </w:r>
    </w:p>
    <w:p w14:paraId="4173B734" w14:textId="77777777" w:rsidR="00B71035" w:rsidRDefault="008C7843">
      <w:pPr>
        <w:pStyle w:val="FirstParagraph"/>
      </w:pPr>
      <w:r>
        <w:t>To formally partition covariance into among-female and residual components, I fitted a multivariate Gaussian mixed-effects model:</w:t>
      </w:r>
    </w:p>
    <w:bookmarkStart w:id="10" w:name="eq-residual"/>
    <w:p w14:paraId="0F48117F" w14:textId="77777777" w:rsidR="00B71035" w:rsidRDefault="008C7843">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1</m:t>
                    </m:r>
                    <m:r>
                      <m:rPr>
                        <m:sty m:val="p"/>
                      </m:rPr>
                      <w:rPr>
                        <w:rFonts w:ascii="Cambria Math" w:hAnsi="Cambria Math"/>
                      </w:rPr>
                      <m:t>,</m:t>
                    </m:r>
                    <m:r>
                      <w:rPr>
                        <w:rFonts w:ascii="Cambria Math" w:hAnsi="Cambria Math"/>
                      </w:rPr>
                      <m:t>ij</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2</m:t>
                    </m:r>
                    <m:r>
                      <m:rPr>
                        <m:sty m:val="p"/>
                      </m:rPr>
                      <w:rPr>
                        <w:rFonts w:ascii="Cambria Math" w:hAnsi="Cambria Math"/>
                      </w:rPr>
                      <m:t>,</m:t>
                    </m:r>
                    <m:r>
                      <w:rPr>
                        <w:rFonts w:ascii="Cambria Math" w:hAnsi="Cambria Math"/>
                      </w:rPr>
                      <m:t>ij</m:t>
                    </m:r>
                  </m:sub>
                </m:sSub>
              </m:e>
            </m:mr>
          </m:m>
          <m:r>
            <w:rPr>
              <w:rFonts w:ascii="Cambria Math" w:hAnsi="Cambria Math"/>
            </w:rPr>
            <m:t>  </m:t>
          </m:r>
          <m:d>
            <m:dPr>
              <m:ctrlPr>
                <w:rPr>
                  <w:rFonts w:ascii="Cambria Math" w:hAnsi="Cambria Math"/>
                </w:rPr>
              </m:ctrlPr>
            </m:dPr>
            <m:e>
              <m:r>
                <w:rPr>
                  <w:rFonts w:ascii="Cambria Math" w:hAnsi="Cambria Math"/>
                </w:rPr>
                <m:t>2</m:t>
              </m:r>
            </m:e>
          </m:d>
        </m:oMath>
      </m:oMathPara>
      <w:bookmarkEnd w:id="10"/>
    </w:p>
    <w:p w14:paraId="5AD3F32D" w14:textId="77777777" w:rsidR="00B71035" w:rsidRDefault="008C7843">
      <w:pPr>
        <w:pStyle w:val="FirstParagraph"/>
      </w:pPr>
      <w:r>
        <w:t>with random effects and residuals distributed as:</w:t>
      </w:r>
    </w:p>
    <w:p w14:paraId="1024EE7A" w14:textId="77777777" w:rsidR="00B71035" w:rsidRDefault="008C7843">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r>
            <m:rPr>
              <m:scr m:val="script"/>
              <m:sty m:val="p"/>
            </m:rPr>
            <w:rPr>
              <w:rFonts w:ascii="Cambria Math" w:hAnsi="Cambria Math"/>
            </w:rPr>
            <m:t>∼M</m:t>
          </m:r>
          <m:r>
            <m:rPr>
              <m:scr m:val="script"/>
              <m:sty m:val="p"/>
            </m:rPr>
            <w:rPr>
              <w:rFonts w:ascii="Cambria Math" w:hAnsi="Cambria Math"/>
            </w:rPr>
            <m:t>VN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r>
            <m:rPr>
              <m:sty m:val="p"/>
            </m:rPr>
            <w:rPr>
              <w:rFonts w:ascii="Cambria Math" w:hAnsi="Cambria Math"/>
            </w:rPr>
            <m:t>,</m:t>
          </m:r>
          <m:r>
            <w:rPr>
              <w:rFonts w:ascii="Cambria Math" w:hAnsi="Cambria Math"/>
            </w:rPr>
            <m:t>  </m:t>
          </m:r>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ε</m:t>
                        </m:r>
                      </m:e>
                      <m:sub>
                        <m:r>
                          <w:rPr>
                            <w:rFonts w:ascii="Cambria Math" w:hAnsi="Cambria Math"/>
                          </w:rPr>
                          <m:t>1</m:t>
                        </m:r>
                        <m:r>
                          <m:rPr>
                            <m:sty m:val="p"/>
                          </m:rPr>
                          <w:rPr>
                            <w:rFonts w:ascii="Cambria Math" w:hAnsi="Cambria Math"/>
                          </w:rPr>
                          <m:t>,</m:t>
                        </m:r>
                        <m:r>
                          <w:rPr>
                            <w:rFonts w:ascii="Cambria Math" w:hAnsi="Cambria Math"/>
                          </w:rPr>
                          <m:t>ij</m:t>
                        </m:r>
                      </m:sub>
                    </m:sSub>
                  </m:e>
                </m:mr>
                <m:mr>
                  <m:e>
                    <m:sSub>
                      <m:sSubPr>
                        <m:ctrlPr>
                          <w:rPr>
                            <w:rFonts w:ascii="Cambria Math" w:hAnsi="Cambria Math"/>
                          </w:rPr>
                        </m:ctrlPr>
                      </m:sSubPr>
                      <m:e>
                        <m:r>
                          <w:rPr>
                            <w:rFonts w:ascii="Cambria Math" w:hAnsi="Cambria Math"/>
                          </w:rPr>
                          <m:t>ε</m:t>
                        </m:r>
                      </m:e>
                      <m:sub>
                        <m:r>
                          <w:rPr>
                            <w:rFonts w:ascii="Cambria Math" w:hAnsi="Cambria Math"/>
                          </w:rPr>
                          <m:t>2</m:t>
                        </m:r>
                        <m:r>
                          <m:rPr>
                            <m:sty m:val="p"/>
                          </m:rPr>
                          <w:rPr>
                            <w:rFonts w:ascii="Cambria Math" w:hAnsi="Cambria Math"/>
                          </w:rPr>
                          <m:t>,</m:t>
                        </m:r>
                        <m:r>
                          <w:rPr>
                            <w:rFonts w:ascii="Cambria Math" w:hAnsi="Cambria Math"/>
                          </w:rPr>
                          <m:t>ij</m:t>
                        </m:r>
                      </m:sub>
                    </m:sSub>
                  </m:e>
                </m:mr>
              </m:m>
            </m:e>
          </m:d>
          <m:r>
            <m:rPr>
              <m:scr m:val="script"/>
              <m:sty m:val="p"/>
            </m:rPr>
            <w:rPr>
              <w:rFonts w:ascii="Cambria Math" w:hAnsi="Cambria Math"/>
            </w:rPr>
            <m:t>∼M</m:t>
          </m:r>
          <m:r>
            <m:rPr>
              <m:scr m:val="script"/>
              <m:sty m:val="p"/>
            </m:rPr>
            <w:rPr>
              <w:rFonts w:ascii="Cambria Math" w:hAnsi="Cambria Math"/>
            </w:rPr>
            <m:t>VN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ε</m:t>
                  </m:r>
                </m:sub>
              </m:sSub>
            </m:e>
          </m:d>
        </m:oMath>
      </m:oMathPara>
    </w:p>
    <w:p w14:paraId="73DD6BB9" w14:textId="77777777" w:rsidR="00B71035" w:rsidRDefault="008C7843">
      <w:pPr>
        <w:pStyle w:val="FirstParagraph"/>
      </w:pPr>
      <w:r>
        <w:t xml:space="preserve">The covariance matrix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captures among-female covariance, whereas </w:t>
      </w:r>
      <m:oMath>
        <m:sSub>
          <m:sSubPr>
            <m:ctrlPr>
              <w:rPr>
                <w:rFonts w:ascii="Cambria Math" w:hAnsi="Cambria Math"/>
              </w:rPr>
            </m:ctrlPr>
          </m:sSubPr>
          <m:e>
            <m:r>
              <w:rPr>
                <w:rFonts w:ascii="Cambria Math" w:hAnsi="Cambria Math"/>
              </w:rPr>
              <m:t>Σ</m:t>
            </m:r>
          </m:e>
          <m:sub>
            <m:r>
              <w:rPr>
                <w:rFonts w:ascii="Cambria Math" w:hAnsi="Cambria Math"/>
              </w:rPr>
              <m:t>ε</m:t>
            </m:r>
          </m:sub>
        </m:sSub>
      </m:oMath>
      <w:r>
        <w:t xml:space="preserve"> estimates residual (within-female) covariance after accounting for female identity (</w:t>
      </w:r>
      <w:r>
        <w:rPr>
          <w:rStyle w:val="VerbatimChar"/>
        </w:rPr>
        <w:t>set_rescor(TRUE)</w:t>
      </w:r>
      <w:r>
        <w:t>).</w:t>
      </w:r>
    </w:p>
    <w:p w14:paraId="107A9B43" w14:textId="77777777" w:rsidR="00B71035" w:rsidRDefault="008C7843">
      <w:pPr>
        <w:pStyle w:val="Heading2"/>
      </w:pPr>
      <w:bookmarkStart w:id="11" w:name="withinbetween-fixed-effects-model"/>
      <w:bookmarkEnd w:id="6"/>
      <w:bookmarkEnd w:id="9"/>
      <w:r>
        <w:lastRenderedPageBreak/>
        <w:t>Within–Between Fixed Effects Model</w:t>
      </w:r>
    </w:p>
    <w:p w14:paraId="4AA300FA" w14:textId="77777777" w:rsidR="00B71035" w:rsidRDefault="008C7843">
      <w:pPr>
        <w:pStyle w:val="FirstParagraph"/>
      </w:pPr>
      <w:r>
        <w:t>To explicitly separate within- and between-female effects of egg number on egg size, egg number was decomposed as:</w:t>
      </w:r>
    </w:p>
    <w:p w14:paraId="6A695407" w14:textId="77777777" w:rsidR="00B71035" w:rsidRDefault="008C7843">
      <w:pPr>
        <w:pStyle w:val="Compact"/>
        <w:numPr>
          <w:ilvl w:val="0"/>
          <w:numId w:val="15"/>
        </w:numPr>
      </w:pPr>
      <w:r>
        <w:t>Within-female deviation</w:t>
      </w:r>
    </w:p>
    <w:bookmarkStart w:id="12" w:name="eq-within"/>
    <w:p w14:paraId="65C98F3F" w14:textId="77777777" w:rsidR="00B71035" w:rsidRDefault="008C7843">
      <w:pPr>
        <w:pStyle w:val="FirstParagraph"/>
      </w:pPr>
      <m:oMathPara>
        <m:oMathParaPr>
          <m:jc m:val="center"/>
        </m:oMathParaPr>
        <m:oMath>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m:rPr>
                  <m:nor/>
                </m:rPr>
                <m:t>EggNumber</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12"/>
    </w:p>
    <w:p w14:paraId="008943A6" w14:textId="77777777" w:rsidR="00B71035" w:rsidRDefault="008C7843">
      <w:pPr>
        <w:pStyle w:val="Compact"/>
        <w:numPr>
          <w:ilvl w:val="0"/>
          <w:numId w:val="16"/>
        </w:numPr>
      </w:pPr>
      <w:r>
        <w:t>Between-female component</w:t>
      </w:r>
    </w:p>
    <w:bookmarkStart w:id="13" w:name="eq-between"/>
    <w:p w14:paraId="2CF4F007" w14:textId="77777777" w:rsidR="00B71035" w:rsidRDefault="008C7843">
      <w:pPr>
        <w:pStyle w:val="FirstParagraph"/>
      </w:pPr>
      <m:oMathPara>
        <m:oMathParaPr>
          <m:jc m:val="center"/>
        </m:oMathParaPr>
        <m:oMath>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m:rPr>
                  <m:nor/>
                </m:rPr>
                <m:t>EggNumber</m:t>
              </m:r>
            </m:e>
          </m:acc>
          <m:r>
            <w:rPr>
              <w:rFonts w:ascii="Cambria Math" w:hAnsi="Cambria Math"/>
            </w:rPr>
            <m:t>  </m:t>
          </m:r>
          <m:d>
            <m:dPr>
              <m:ctrlPr>
                <w:rPr>
                  <w:rFonts w:ascii="Cambria Math" w:hAnsi="Cambria Math"/>
                </w:rPr>
              </m:ctrlPr>
            </m:dPr>
            <m:e>
              <m:r>
                <w:rPr>
                  <w:rFonts w:ascii="Cambria Math" w:hAnsi="Cambria Math"/>
                </w:rPr>
                <m:t>4</m:t>
              </m:r>
            </m:e>
          </m:d>
        </m:oMath>
      </m:oMathPara>
      <w:bookmarkEnd w:id="13"/>
    </w:p>
    <w:p w14:paraId="4BA90347" w14:textId="77777777" w:rsidR="00B71035" w:rsidRDefault="008C7843">
      <w:pPr>
        <w:pStyle w:val="FirstParagraph"/>
      </w:pPr>
      <w:r>
        <w:t>I then fitted the following linear mixed-effects model:</w:t>
      </w:r>
    </w:p>
    <w:bookmarkStart w:id="14" w:name="eq-withinbetween"/>
    <w:p w14:paraId="2DEF8BC1" w14:textId="77777777" w:rsidR="00B71035" w:rsidRDefault="008C7843">
      <w:pPr>
        <w:pStyle w:val="BodyText"/>
      </w:pPr>
      <m:oMathPara>
        <m:oMathParaPr>
          <m:jc m:val="center"/>
        </m:oMathParaPr>
        <m:oMath>
          <m:sSub>
            <m:sSubPr>
              <m:ctrlPr>
                <w:rPr>
                  <w:rFonts w:ascii="Cambria Math" w:hAnsi="Cambria Math"/>
                </w:rPr>
              </m:ctrlPr>
            </m:sSubPr>
            <m:e>
              <m:r>
                <m:rPr>
                  <m:nor/>
                </m:rPr>
                <m:t>MeanEggSize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14"/>
    </w:p>
    <w:p w14:paraId="59D13BE2" w14:textId="77777777" w:rsidR="00B71035" w:rsidRDefault="008C7843">
      <w:pPr>
        <w:pStyle w:val="FirstParagraph"/>
      </w:pPr>
      <w:r>
        <w:t>with</w:t>
      </w:r>
    </w:p>
    <w:p w14:paraId="4AF345F6" w14:textId="77777777" w:rsidR="00B71035" w:rsidRDefault="008C7843">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id</m:t>
                  </m:r>
                </m:sub>
                <m:sup>
                  <m:r>
                    <w:rPr>
                      <w:rFonts w:ascii="Cambria Math" w:hAnsi="Cambria Math"/>
                    </w:rPr>
                    <m:t>2</m:t>
                  </m:r>
                </m:sup>
              </m:sSub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ij</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d>
        </m:oMath>
      </m:oMathPara>
    </w:p>
    <w:p w14:paraId="71CFC7AE" w14:textId="77777777" w:rsidR="00B71035" w:rsidRDefault="008C7843">
      <w:pPr>
        <w:pStyle w:val="FirstParagraph"/>
      </w:pPr>
      <w:r>
        <w:t xml:space="preserve">The coefficient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estimates the within-female (plastic) effect of egg number on egg size, whereas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estimates the between-female (strategic) effect.</w:t>
      </w:r>
    </w:p>
    <w:p w14:paraId="4B2C4BD5" w14:textId="77777777" w:rsidR="00B71035" w:rsidRDefault="008C7843">
      <w:pPr>
        <w:pStyle w:val="BodyText"/>
      </w:pPr>
      <w:r>
        <w:t>To facilitate comparison of effect sizes, continuous predictors were standardized by subtracting the mean and dividing by the standard deviation:</w:t>
      </w:r>
    </w:p>
    <w:bookmarkStart w:id="15" w:name="eq-standardization"/>
    <w:p w14:paraId="7D65FA53" w14:textId="77777777" w:rsidR="00B71035" w:rsidRDefault="008C7843">
      <w:pPr>
        <w:pStyle w:val="BodyText"/>
      </w:pPr>
      <m:oMathPara>
        <m:oMathParaPr>
          <m:jc m:val="center"/>
        </m:oMathParaPr>
        <m:oMath>
          <m:sSub>
            <m:sSubPr>
              <m:ctrlPr>
                <w:rPr>
                  <w:rFonts w:ascii="Cambria Math" w:hAnsi="Cambria Math"/>
                </w:rPr>
              </m:ctrlPr>
            </m:sSubPr>
            <m:e>
              <m:r>
                <w:rPr>
                  <w:rFonts w:ascii="Cambria Math" w:hAnsi="Cambria Math"/>
                </w:rPr>
                <m:t>X</m:t>
              </m:r>
            </m:e>
            <m:sub>
              <m:r>
                <m:rPr>
                  <m:nor/>
                </m:rPr>
                <m:t>std</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num>
            <m:den>
              <m:r>
                <m:rPr>
                  <m:sty m:val="p"/>
                </m:rPr>
                <w:rPr>
                  <w:rFonts w:ascii="Cambria Math" w:hAnsi="Cambria Math"/>
                </w:rPr>
                <m:t>SD</m:t>
              </m:r>
              <m:d>
                <m:dPr>
                  <m:ctrlPr>
                    <w:rPr>
                      <w:rFonts w:ascii="Cambria Math" w:hAnsi="Cambria Math"/>
                    </w:rPr>
                  </m:ctrlPr>
                </m:dPr>
                <m:e>
                  <m:r>
                    <w:rPr>
                      <w:rFonts w:ascii="Cambria Math" w:hAnsi="Cambria Math"/>
                    </w:rPr>
                    <m:t>X</m:t>
                  </m:r>
                </m:e>
              </m:d>
            </m:den>
          </m:f>
          <m:r>
            <w:rPr>
              <w:rFonts w:ascii="Cambria Math" w:hAnsi="Cambria Math"/>
            </w:rPr>
            <m:t>  </m:t>
          </m:r>
          <m:d>
            <m:dPr>
              <m:ctrlPr>
                <w:rPr>
                  <w:rFonts w:ascii="Cambria Math" w:hAnsi="Cambria Math"/>
                </w:rPr>
              </m:ctrlPr>
            </m:dPr>
            <m:e>
              <m:r>
                <w:rPr>
                  <w:rFonts w:ascii="Cambria Math" w:hAnsi="Cambria Math"/>
                </w:rPr>
                <m:t>6</m:t>
              </m:r>
            </m:e>
          </m:d>
        </m:oMath>
      </m:oMathPara>
      <w:bookmarkEnd w:id="15"/>
    </w:p>
    <w:p w14:paraId="4C413B16" w14:textId="77777777" w:rsidR="00B71035" w:rsidRDefault="008C7843">
      <w:pPr>
        <w:pStyle w:val="FirstParagraph"/>
      </w:pPr>
      <w:r>
        <w:lastRenderedPageBreak/>
        <w:t>The within-female and between-female components were standardized across their respective distributions. When estimating standardized regression coefficients, the response variable was also scaled to unit standard deviation. Standardized coefficients therefore represent the expected change (in standard deviation units) in egg size per one standard deviation change in the predictor.</w:t>
      </w:r>
    </w:p>
    <w:p w14:paraId="7D849B46" w14:textId="77777777" w:rsidR="00B71035" w:rsidRDefault="008C7843">
      <w:pPr>
        <w:pStyle w:val="BodyText"/>
      </w:pPr>
      <w:r>
        <w:t>To test whether females differed in their propensity to trade off egg size against egg number, I fitted a random-slopes model allowing the within-female effect of egg number to vary among females:</w:t>
      </w:r>
    </w:p>
    <w:bookmarkStart w:id="16" w:name="eq-randomslopes"/>
    <w:p w14:paraId="6345B5ED" w14:textId="77777777" w:rsidR="00B71035" w:rsidRPr="00FA6262" w:rsidRDefault="008C7843">
      <w:pPr>
        <w:pStyle w:val="BodyText"/>
        <w:rPr>
          <w:sz w:val="20"/>
          <w:szCs w:val="20"/>
        </w:rPr>
      </w:pPr>
      <m:oMathPara>
        <m:oMathParaPr>
          <m:jc m:val="center"/>
        </m:oMathParaPr>
        <m:oMath>
          <m:sSub>
            <m:sSubPr>
              <m:ctrlPr>
                <w:rPr>
                  <w:rFonts w:ascii="Cambria Math" w:hAnsi="Cambria Math"/>
                  <w:sz w:val="20"/>
                  <w:szCs w:val="20"/>
                </w:rPr>
              </m:ctrlPr>
            </m:sSubPr>
            <m:e>
              <m:r>
                <m:rPr>
                  <m:nor/>
                </m:rPr>
                <w:rPr>
                  <w:sz w:val="20"/>
                  <w:szCs w:val="20"/>
                </w:rPr>
                <m:t>mean egg size</m:t>
              </m:r>
            </m:e>
            <m:sub>
              <m:r>
                <w:rPr>
                  <w:rFonts w:ascii="Cambria Math" w:hAnsi="Cambria Math"/>
                  <w:sz w:val="20"/>
                  <w:szCs w:val="20"/>
                </w:rPr>
                <m:t>ij</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0</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W</m:t>
              </m:r>
            </m:sub>
          </m:sSub>
          <m:r>
            <w:rPr>
              <w:rFonts w:ascii="Cambria Math" w:hAnsi="Cambria Math"/>
              <w:sz w:val="20"/>
              <w:szCs w:val="20"/>
            </w:rPr>
            <m:t> </m:t>
          </m:r>
          <m:sSub>
            <m:sSubPr>
              <m:ctrlPr>
                <w:rPr>
                  <w:rFonts w:ascii="Cambria Math" w:hAnsi="Cambria Math"/>
                  <w:sz w:val="20"/>
                  <w:szCs w:val="20"/>
                </w:rPr>
              </m:ctrlPr>
            </m:sSubPr>
            <m:e>
              <m:r>
                <m:rPr>
                  <m:nor/>
                </m:rPr>
                <w:rPr>
                  <w:sz w:val="20"/>
                  <w:szCs w:val="20"/>
                </w:rPr>
                <m:t>egg_number</m:t>
              </m:r>
            </m:e>
            <m:sub>
              <m:r>
                <m:rPr>
                  <m:nor/>
                </m:rPr>
                <w:rPr>
                  <w:sz w:val="20"/>
                  <w:szCs w:val="20"/>
                </w:rPr>
                <m:t>within</m:t>
              </m:r>
              <m:r>
                <m:rPr>
                  <m:sty m:val="p"/>
                </m:rPr>
                <w:rPr>
                  <w:rFonts w:ascii="Cambria Math" w:hAnsi="Cambria Math"/>
                  <w:sz w:val="20"/>
                  <w:szCs w:val="20"/>
                </w:rPr>
                <m:t>,</m:t>
              </m:r>
              <m:r>
                <w:rPr>
                  <w:rFonts w:ascii="Cambria Math" w:hAnsi="Cambria Math"/>
                  <w:sz w:val="20"/>
                  <w:szCs w:val="20"/>
                </w:rPr>
                <m:t>ij</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B</m:t>
              </m:r>
            </m:sub>
          </m:sSub>
          <m:r>
            <w:rPr>
              <w:rFonts w:ascii="Cambria Math" w:hAnsi="Cambria Math"/>
              <w:sz w:val="20"/>
              <w:szCs w:val="20"/>
            </w:rPr>
            <m:t> </m:t>
          </m:r>
          <m:sSub>
            <m:sSubPr>
              <m:ctrlPr>
                <w:rPr>
                  <w:rFonts w:ascii="Cambria Math" w:hAnsi="Cambria Math"/>
                  <w:sz w:val="20"/>
                  <w:szCs w:val="20"/>
                </w:rPr>
              </m:ctrlPr>
            </m:sSubPr>
            <m:e>
              <m:r>
                <m:rPr>
                  <m:nor/>
                </m:rPr>
                <w:rPr>
                  <w:sz w:val="20"/>
                  <w:szCs w:val="20"/>
                </w:rPr>
                <m:t>egg_number</m:t>
              </m:r>
            </m:e>
            <m:sub>
              <m:r>
                <m:rPr>
                  <m:nor/>
                </m:rPr>
                <w:rPr>
                  <w:sz w:val="20"/>
                  <w:szCs w:val="20"/>
                </w:rPr>
                <m:t>between</m:t>
              </m:r>
              <m:r>
                <m:rPr>
                  <m:sty m:val="p"/>
                </m:rPr>
                <w:rPr>
                  <w:rFonts w:ascii="Cambria Math" w:hAnsi="Cambria Math"/>
                  <w:sz w:val="20"/>
                  <w:szCs w:val="20"/>
                </w:rPr>
                <m:t>,</m:t>
              </m:r>
              <m:r>
                <w:rPr>
                  <w:rFonts w:ascii="Cambria Math" w:hAnsi="Cambria Math"/>
                  <w:sz w:val="20"/>
                  <w:szCs w:val="20"/>
                </w:rPr>
                <m:t>i</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1</m:t>
              </m:r>
              <m:r>
                <m:rPr>
                  <m:sty m:val="p"/>
                </m:rPr>
                <w:rPr>
                  <w:rFonts w:ascii="Cambria Math" w:hAnsi="Cambria Math"/>
                  <w:sz w:val="20"/>
                  <w:szCs w:val="20"/>
                </w:rPr>
                <m:t>+</m:t>
              </m:r>
              <m:sSub>
                <m:sSubPr>
                  <m:ctrlPr>
                    <w:rPr>
                      <w:rFonts w:ascii="Cambria Math" w:hAnsi="Cambria Math"/>
                      <w:sz w:val="20"/>
                      <w:szCs w:val="20"/>
                    </w:rPr>
                  </m:ctrlPr>
                </m:sSubPr>
                <m:e>
                  <m:r>
                    <m:rPr>
                      <m:nor/>
                    </m:rPr>
                    <w:rPr>
                      <w:sz w:val="20"/>
                      <w:szCs w:val="20"/>
                    </w:rPr>
                    <m:t>egg_number</m:t>
                  </m:r>
                </m:e>
                <m:sub>
                  <m:r>
                    <m:rPr>
                      <m:nor/>
                    </m:rPr>
                    <w:rPr>
                      <w:sz w:val="20"/>
                      <w:szCs w:val="20"/>
                    </w:rPr>
                    <m:t>within</m:t>
                  </m:r>
                </m:sub>
              </m:sSub>
              <m:r>
                <m:rPr>
                  <m:sty m:val="p"/>
                </m:rPr>
                <w:rPr>
                  <w:rFonts w:ascii="Cambria Math" w:hAnsi="Cambria Math"/>
                  <w:sz w:val="20"/>
                  <w:szCs w:val="20"/>
                </w:rPr>
                <m:t>∣</m:t>
              </m:r>
              <m:r>
                <m:rPr>
                  <m:nor/>
                </m:rPr>
                <w:rPr>
                  <w:sz w:val="20"/>
                  <w:szCs w:val="20"/>
                </w:rPr>
                <m:t>id</m:t>
              </m:r>
            </m:e>
          </m:d>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ε</m:t>
              </m:r>
            </m:e>
            <m:sub>
              <m:r>
                <w:rPr>
                  <w:rFonts w:ascii="Cambria Math" w:hAnsi="Cambria Math"/>
                  <w:sz w:val="20"/>
                  <w:szCs w:val="20"/>
                </w:rPr>
                <m:t>ij</m:t>
              </m:r>
            </m:sub>
          </m:sSub>
          <m:r>
            <w:rPr>
              <w:rFonts w:ascii="Cambria Math" w:hAnsi="Cambria Math"/>
              <w:sz w:val="20"/>
              <w:szCs w:val="20"/>
            </w:rPr>
            <m:t>  </m:t>
          </m:r>
          <m:d>
            <m:dPr>
              <m:ctrlPr>
                <w:rPr>
                  <w:rFonts w:ascii="Cambria Math" w:hAnsi="Cambria Math"/>
                  <w:sz w:val="20"/>
                  <w:szCs w:val="20"/>
                </w:rPr>
              </m:ctrlPr>
            </m:dPr>
            <m:e>
              <m:r>
                <w:rPr>
                  <w:rFonts w:ascii="Cambria Math" w:hAnsi="Cambria Math"/>
                  <w:sz w:val="20"/>
                  <w:szCs w:val="20"/>
                </w:rPr>
                <m:t>7</m:t>
              </m:r>
            </m:e>
          </m:d>
        </m:oMath>
      </m:oMathPara>
      <w:bookmarkEnd w:id="16"/>
    </w:p>
    <w:p w14:paraId="04613BB7" w14:textId="77777777" w:rsidR="00B71035" w:rsidRDefault="008C7843">
      <w:pPr>
        <w:pStyle w:val="FirstParagraph"/>
      </w:pPr>
      <w:r>
        <w:t>This model estimates variance in within-female slopes as well as the intercept–slope correlation, thereby quantifying heterogeneity in allocation strategies. Specifically, it allows assessment of whether females with larger average egg size differ systematically in the strength or direction of their within-female trade-off. This model was used to quantify individual variation in slopes but not to derive standardized fixed effects.</w:t>
      </w:r>
    </w:p>
    <w:p w14:paraId="213C7D33" w14:textId="77777777" w:rsidR="00B71035" w:rsidRDefault="008C7843">
      <w:pPr>
        <w:pStyle w:val="Heading2"/>
      </w:pPr>
      <w:bookmarkStart w:id="17" w:name="X66c50ccfd0266e428f76d39573138b87b12f29d"/>
      <w:bookmarkEnd w:id="11"/>
      <w:r>
        <w:t>Controlling for clutch order in within–between models</w:t>
      </w:r>
    </w:p>
    <w:p w14:paraId="289BDD54" w14:textId="77777777" w:rsidR="00B71035" w:rsidRDefault="008C7843">
      <w:pPr>
        <w:pStyle w:val="FirstParagraph"/>
      </w:pPr>
      <w:r>
        <w:t>Because both egg number and egg size varied systematically across clutches, we tested whether clutch order explained the within-female association by including clutch as a fixed effect in the within–between model:</w:t>
      </w:r>
    </w:p>
    <w:bookmarkStart w:id="18" w:name="eq-clutchorderwithinbetween"/>
    <w:p w14:paraId="7E86A425" w14:textId="77777777" w:rsidR="00B71035" w:rsidRDefault="008C7843">
      <w:pPr>
        <w:pStyle w:val="BodyText"/>
      </w:pPr>
      <m:oMathPara>
        <m:oMathParaPr>
          <m:jc m:val="center"/>
        </m:oMathParaPr>
        <m:oMath>
          <m:sSub>
            <m:sSubPr>
              <m:ctrlPr>
                <w:rPr>
                  <w:rFonts w:ascii="Cambria Math" w:hAnsi="Cambria Math" w:cs="Times New Roman"/>
                  <w:sz w:val="20"/>
                  <w:szCs w:val="20"/>
                </w:rPr>
              </m:ctrlPr>
            </m:sSubPr>
            <m:e>
              <m:r>
                <m:rPr>
                  <m:nor/>
                </m:rPr>
                <w:rPr>
                  <w:rFonts w:cs="Times New Roman"/>
                  <w:sz w:val="20"/>
                  <w:szCs w:val="20"/>
                </w:rPr>
                <m:t>mean egg size</m:t>
              </m:r>
            </m:e>
            <m:sub>
              <m:r>
                <w:rPr>
                  <w:rFonts w:ascii="Cambria Math" w:hAnsi="Cambria Math" w:cs="Times New Roman"/>
                  <w:sz w:val="20"/>
                  <w:szCs w:val="20"/>
                </w:rPr>
                <m:t>ij</m:t>
              </m:r>
            </m:sub>
          </m:sSub>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β</m:t>
              </m:r>
            </m:e>
            <m:sub>
              <m:r>
                <w:rPr>
                  <w:rFonts w:ascii="Cambria Math" w:hAnsi="Cambria Math" w:cs="Times New Roman"/>
                  <w:sz w:val="20"/>
                  <w:szCs w:val="20"/>
                </w:rPr>
                <m:t>0</m:t>
              </m:r>
            </m:sub>
          </m:sSub>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β</m:t>
              </m:r>
            </m:e>
            <m:sub>
              <m:r>
                <w:rPr>
                  <w:rFonts w:ascii="Cambria Math" w:hAnsi="Cambria Math" w:cs="Times New Roman"/>
                  <w:sz w:val="20"/>
                  <w:szCs w:val="20"/>
                </w:rPr>
                <m:t>W</m:t>
              </m:r>
            </m:sub>
          </m:sSub>
          <m:r>
            <w:rPr>
              <w:rFonts w:ascii="Cambria Math" w:hAnsi="Cambria Math" w:cs="Times New Roman"/>
              <w:sz w:val="20"/>
              <w:szCs w:val="20"/>
            </w:rPr>
            <m:t> </m:t>
          </m:r>
          <m:sSub>
            <m:sSubPr>
              <m:ctrlPr>
                <w:rPr>
                  <w:rFonts w:ascii="Cambria Math" w:hAnsi="Cambria Math" w:cs="Times New Roman"/>
                  <w:sz w:val="20"/>
                  <w:szCs w:val="20"/>
                </w:rPr>
              </m:ctrlPr>
            </m:sSubPr>
            <m:e>
              <m:r>
                <m:rPr>
                  <m:nor/>
                </m:rPr>
                <w:rPr>
                  <w:rFonts w:cs="Times New Roman"/>
                  <w:sz w:val="20"/>
                  <w:szCs w:val="20"/>
                </w:rPr>
                <m:t>egg_number</m:t>
              </m:r>
            </m:e>
            <m:sub>
              <m:r>
                <m:rPr>
                  <m:nor/>
                </m:rPr>
                <w:rPr>
                  <w:rFonts w:cs="Times New Roman"/>
                  <w:sz w:val="20"/>
                  <w:szCs w:val="20"/>
                </w:rPr>
                <m:t>within</m:t>
              </m:r>
              <m:r>
                <m:rPr>
                  <m:sty m:val="p"/>
                </m:rPr>
                <w:rPr>
                  <w:rFonts w:ascii="Cambria Math" w:hAnsi="Cambria Math" w:cs="Times New Roman"/>
                  <w:sz w:val="20"/>
                  <w:szCs w:val="20"/>
                </w:rPr>
                <m:t>,</m:t>
              </m:r>
              <m:r>
                <w:rPr>
                  <w:rFonts w:ascii="Cambria Math" w:hAnsi="Cambria Math" w:cs="Times New Roman"/>
                  <w:sz w:val="20"/>
                  <w:szCs w:val="20"/>
                </w:rPr>
                <m:t>ij</m:t>
              </m:r>
            </m:sub>
          </m:sSub>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β</m:t>
              </m:r>
            </m:e>
            <m:sub>
              <m:r>
                <w:rPr>
                  <w:rFonts w:ascii="Cambria Math" w:hAnsi="Cambria Math" w:cs="Times New Roman"/>
                  <w:sz w:val="20"/>
                  <w:szCs w:val="20"/>
                </w:rPr>
                <m:t>B</m:t>
              </m:r>
            </m:sub>
          </m:sSub>
          <m:r>
            <w:rPr>
              <w:rFonts w:ascii="Cambria Math" w:hAnsi="Cambria Math" w:cs="Times New Roman"/>
              <w:sz w:val="20"/>
              <w:szCs w:val="20"/>
            </w:rPr>
            <m:t> </m:t>
          </m:r>
          <m:sSub>
            <m:sSubPr>
              <m:ctrlPr>
                <w:rPr>
                  <w:rFonts w:ascii="Cambria Math" w:hAnsi="Cambria Math" w:cs="Times New Roman"/>
                  <w:sz w:val="20"/>
                  <w:szCs w:val="20"/>
                </w:rPr>
              </m:ctrlPr>
            </m:sSubPr>
            <m:e>
              <m:r>
                <m:rPr>
                  <m:nor/>
                </m:rPr>
                <w:rPr>
                  <w:rFonts w:cs="Times New Roman"/>
                  <w:sz w:val="20"/>
                  <w:szCs w:val="20"/>
                </w:rPr>
                <m:t>egg_number</m:t>
              </m:r>
            </m:e>
            <m:sub>
              <m:r>
                <m:rPr>
                  <m:nor/>
                </m:rPr>
                <w:rPr>
                  <w:rFonts w:cs="Times New Roman"/>
                  <w:sz w:val="20"/>
                  <w:szCs w:val="20"/>
                </w:rPr>
                <m:t>between</m:t>
              </m:r>
              <m:r>
                <m:rPr>
                  <m:sty m:val="p"/>
                </m:rPr>
                <w:rPr>
                  <w:rFonts w:ascii="Cambria Math" w:hAnsi="Cambria Math" w:cs="Times New Roman"/>
                  <w:sz w:val="20"/>
                  <w:szCs w:val="20"/>
                </w:rPr>
                <m:t>,</m:t>
              </m:r>
              <m:r>
                <w:rPr>
                  <w:rFonts w:ascii="Cambria Math" w:hAnsi="Cambria Math" w:cs="Times New Roman"/>
                  <w:sz w:val="20"/>
                  <w:szCs w:val="20"/>
                </w:rPr>
                <m:t>i</m:t>
              </m:r>
            </m:sub>
          </m:sSub>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β</m:t>
              </m:r>
            </m:e>
            <m:sub>
              <m:r>
                <m:rPr>
                  <m:nor/>
                </m:rPr>
                <w:rPr>
                  <w:rFonts w:cs="Times New Roman"/>
                  <w:sz w:val="20"/>
                  <w:szCs w:val="20"/>
                </w:rPr>
                <m:t>brood</m:t>
              </m:r>
            </m:sub>
          </m:sSub>
          <m:r>
            <w:rPr>
              <w:rFonts w:ascii="Cambria Math" w:hAnsi="Cambria Math" w:cs="Times New Roman"/>
              <w:sz w:val="20"/>
              <w:szCs w:val="20"/>
            </w:rPr>
            <m:t> </m:t>
          </m:r>
          <m:sSub>
            <m:sSubPr>
              <m:ctrlPr>
                <w:rPr>
                  <w:rFonts w:ascii="Cambria Math" w:hAnsi="Cambria Math" w:cs="Times New Roman"/>
                  <w:sz w:val="20"/>
                  <w:szCs w:val="20"/>
                </w:rPr>
              </m:ctrlPr>
            </m:sSubPr>
            <m:e>
              <m:r>
                <m:rPr>
                  <m:nor/>
                </m:rPr>
                <w:rPr>
                  <w:rFonts w:cs="Times New Roman"/>
                  <w:sz w:val="20"/>
                  <w:szCs w:val="20"/>
                </w:rPr>
                <m:t>brood</m:t>
              </m:r>
            </m:e>
            <m:sub>
              <m:r>
                <w:rPr>
                  <w:rFonts w:ascii="Cambria Math" w:hAnsi="Cambria Math" w:cs="Times New Roman"/>
                  <w:sz w:val="20"/>
                  <w:szCs w:val="20"/>
                </w:rPr>
                <m:t>ij</m:t>
              </m:r>
            </m:sub>
          </m:sSub>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b</m:t>
              </m:r>
            </m:e>
            <m:sub>
              <m:r>
                <w:rPr>
                  <w:rFonts w:ascii="Cambria Math" w:hAnsi="Cambria Math" w:cs="Times New Roman"/>
                  <w:sz w:val="20"/>
                  <w:szCs w:val="20"/>
                </w:rPr>
                <m:t>0</m:t>
              </m:r>
              <m:r>
                <w:rPr>
                  <w:rFonts w:ascii="Cambria Math" w:hAnsi="Cambria Math" w:cs="Times New Roman"/>
                  <w:sz w:val="20"/>
                  <w:szCs w:val="20"/>
                </w:rPr>
                <m:t>i</m:t>
              </m:r>
            </m:sub>
          </m:sSub>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ε</m:t>
              </m:r>
            </m:e>
            <m:sub>
              <m:r>
                <w:rPr>
                  <w:rFonts w:ascii="Cambria Math" w:hAnsi="Cambria Math" w:cs="Times New Roman"/>
                  <w:sz w:val="20"/>
                  <w:szCs w:val="20"/>
                </w:rPr>
                <m:t>ij</m:t>
              </m:r>
            </m:sub>
          </m:sSub>
          <m:r>
            <w:rPr>
              <w:rFonts w:ascii="Cambria Math" w:hAnsi="Cambria Math" w:cs="Times New Roman"/>
              <w:sz w:val="20"/>
              <w:szCs w:val="20"/>
            </w:rPr>
            <m:t>  </m:t>
          </m:r>
          <m:d>
            <m:dPr>
              <m:ctrlPr>
                <w:rPr>
                  <w:rFonts w:ascii="Cambria Math" w:hAnsi="Cambria Math" w:cs="Times New Roman"/>
                  <w:sz w:val="20"/>
                  <w:szCs w:val="20"/>
                </w:rPr>
              </m:ctrlPr>
            </m:dPr>
            <m:e>
              <m:r>
                <w:rPr>
                  <w:rFonts w:ascii="Cambria Math" w:hAnsi="Cambria Math" w:cs="Times New Roman"/>
                  <w:sz w:val="20"/>
                  <w:szCs w:val="20"/>
                </w:rPr>
                <m:t>8</m:t>
              </m:r>
            </m:e>
          </m:d>
        </m:oMath>
      </m:oMathPara>
      <w:bookmarkEnd w:id="18"/>
    </w:p>
    <w:p w14:paraId="0E542E55" w14:textId="77777777" w:rsidR="00B71035" w:rsidRDefault="008C7843">
      <w:pPr>
        <w:pStyle w:val="FirstParagraph"/>
      </w:pPr>
      <w:r>
        <w:lastRenderedPageBreak/>
        <w:t xml:space="preserve">This model evaluates whether the within-female slope persists after accounting for systematic clutch-related shifts in reproductive output. A reduction of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toward zero indicates that any apparent within-female association was driven by parallel clutch-order changes rather than plastic allocation per se.</w:t>
      </w:r>
    </w:p>
    <w:p w14:paraId="4E823557" w14:textId="77777777" w:rsidR="00B71035" w:rsidRDefault="008C7843">
      <w:pPr>
        <w:pStyle w:val="BodyText"/>
      </w:pPr>
      <w:r>
        <w:t>Weakly informative priors were specified for all model parameters to regularize estimation while remaining minimally restrictive. All models were fitted using Markov chain Monte Carlo (MCMC) sampling with four independent chains and 4,000 iterations to ensure adequate posterior exploration. Convergence was evaluated using the potential scale reduction factor (</w:t>
      </w:r>
      <m:oMath>
        <m:acc>
          <m:accPr>
            <m:ctrlPr>
              <w:rPr>
                <w:rFonts w:ascii="Cambria Math" w:hAnsi="Cambria Math"/>
              </w:rPr>
            </m:ctrlPr>
          </m:accPr>
          <m:e>
            <m:r>
              <w:rPr>
                <w:rFonts w:ascii="Cambria Math" w:hAnsi="Cambria Math"/>
              </w:rPr>
              <m:t>R</m:t>
            </m:r>
          </m:e>
        </m:acc>
      </m:oMath>
      <w:r>
        <w:t xml:space="preserve"> = 1.00), effective sample sizes (bulk and tail ESS), and visual inspection of trace plots. All reported parameters satisfied standard convergence criteria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1.00</m:t>
        </m:r>
      </m:oMath>
      <w:r>
        <w:t>). Parameter estimates are presented as posterior means with 95% credible intervals derived from the posterior distributions. Inference was based on CrIs that did not include zero.</w:t>
      </w:r>
    </w:p>
    <w:p w14:paraId="744528DD" w14:textId="77777777" w:rsidR="00B71035" w:rsidRDefault="008C7843">
      <w:pPr>
        <w:pStyle w:val="BodyText"/>
      </w:pPr>
      <w:r>
        <w:t>I examined whether the first and second clutches of eggs differed in egg size variation among (</w:t>
      </w:r>
      <w:r>
        <w:rPr>
          <w:i/>
          <w:iCs/>
        </w:rPr>
        <w:t>V</w:t>
      </w:r>
      <w:r>
        <w:rPr>
          <w:vertAlign w:val="subscript"/>
        </w:rPr>
        <w:t>among</w:t>
      </w:r>
      <w:r>
        <w:t>) and within (</w:t>
      </w:r>
      <w:r>
        <w:rPr>
          <w:i/>
          <w:iCs/>
        </w:rPr>
        <w:t>V</w:t>
      </w:r>
      <w:r>
        <w:rPr>
          <w:vertAlign w:val="subscript"/>
        </w:rPr>
        <w:t>within</w:t>
      </w:r>
      <w:r>
        <w:t>)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w:t>
      </w:r>
      <w:r>
        <w:t>d whether the first and second clutch differed in egg size at the among- and within-female levels.</w:t>
      </w:r>
    </w:p>
    <w:p w14:paraId="1C3D9375" w14:textId="77777777" w:rsidR="00B71035" w:rsidRDefault="008C7843">
      <w:pPr>
        <w:pStyle w:val="Heading1"/>
      </w:pPr>
      <w:bookmarkStart w:id="19" w:name="results"/>
      <w:bookmarkEnd w:id="2"/>
      <w:bookmarkEnd w:id="17"/>
      <w:r>
        <w:lastRenderedPageBreak/>
        <w:t>Results</w:t>
      </w:r>
    </w:p>
    <w:p w14:paraId="014EBC03" w14:textId="77777777" w:rsidR="00B71035" w:rsidRDefault="008C7843">
      <w:pPr>
        <w:pStyle w:val="FirstParagraph"/>
      </w:pPr>
      <w:r>
        <w:t xml:space="preserve">Equation </w:t>
      </w:r>
      <w:hyperlink w:anchor="eq-clutchorder">
        <w:r>
          <w:rPr>
            <w:rStyle w:val="Hyperlink"/>
          </w:rPr>
          <w:t>Equation 1</w:t>
        </w:r>
      </w:hyperlink>
    </w:p>
    <w:p w14:paraId="448F5DA9" w14:textId="77777777" w:rsidR="00B71035" w:rsidRDefault="008C7843">
      <w:pPr>
        <w:pStyle w:val="BodyText"/>
      </w:pPr>
      <w:r>
        <w:t>Results Effect of clutch order on egg size and number Both egg number and egg size declined in the second clutch. In the multivariate Gaussian–Poisson model, egg size was smaller in clutch two (x̄ ± SE = 3.41 ± 0.03) relative to clutch one (3.54 ± 0.03; β = −0.12, 95% CrI [−0.21, −0.04]). Egg number also declined substantially (clutch one: 51.55 ± 2.49; clutch two: 34.14 ± 2.65; log-scale β = −0.41, 95% CrI [−0.48, −0.34]), corresponding to an approximate 34% reduction on the natural scale (e^(−0.41) ≈ 0.66</w:t>
      </w:r>
      <w:r>
        <w:t xml:space="preserve">). Among-female variation remained detectable for both egg size (SD = 0.091, 95% CrI [0.009, 0.165]) and egg number (SD = 0.355, 95% CrI [0.273, 0.460]), indicating persistent heterogeneity among females across broods. Correlations between egg number and egg size Across all observations, the raw Pearson correlation between egg number and egg size was weak and close to zero (r_raw = −0.04, 95% CI [−0.25, 0.19]), suggesting no clear phenotypic association when hierarchical structure was ignored. In contrast, </w:t>
      </w:r>
      <w:r>
        <w:t>the between-female Pearson correlation calculated from female means was moderate and negative (r_between = −0.31, 95% CI [−0.55, −0.02]).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(r_within = 0.0025, 95% CrI [−0.86, 0.85]). Thus, a</w:t>
      </w:r>
      <w:r>
        <w:t xml:space="preserve">pparent phenotypic independence masked a moderate negative association among females but no detectable clutch-level trade-off within females. Within–between mixed-effects models In the within–between mixed-effects model, egg size varied among females (random-intercept SD = 0.07, 95% CrI [0.00, 0.14]). The </w:t>
      </w:r>
      <w:r>
        <w:lastRenderedPageBreak/>
        <w:t>within-female effect of egg number on egg size was small and uncertain (β_W = 0.0027, 95% CrI [−0.0006, 0.0057]). On the natural scale, this corresponds to an increase of approximately 0.027 units in egg s</w:t>
      </w:r>
      <w:r>
        <w:t>ize for every additional 10 eggs within a female—an effect that was not credibly different from zero. In contrast, the between-female effect was negative (β_B = −0.0038, 95% CrI [−0.0076, 0.0000]). Females differing by 10 eggs in mean clutch size differed by approximately 0.038 units in egg size. Although the credible interval extended to zero, the posterior distribution was predominantly negative, consistent with a modest among-female trade-off. Standardized coefficients reinforced the difference in magnit</w:t>
      </w:r>
      <w:r>
        <w:t>ude between hierarchical levels. The standardized within-female effect was positive but uncertain (β_W,standardized = 0.17, 95% CrI [−0.04, 0.36]), whereas the standardized between-female effect was negative and its credible interval did not overlap zero (β_B,standardized = −0.23, 95% CrI [−0.452, −0.002]). Thus, the negative association was stronger and more consistent among females than within females. Allowing within-female slopes to vary among females produced similar fixed-effect estimates (β_W = 0.003</w:t>
      </w:r>
      <w:r>
        <w:t>4, 95% CrI [−0.0004, 0.0076]; β_B = −0.0041, 95% CrI [−0.0082, −0.0002]). Variation in within-female slopes was small (SD = 0.0046, 95% CrI [0.0003, 0.0110]), and the intercept–slope correlation was highly uncertain (r = 0.20, 95% CrI [−0.67, 0.85]), indicating no strong evidence that females differed substantially in plastic allocation patterns. Because both egg number and egg size declined across clutches, clutch order was included as an additional fixed effect to test whether it explained the weak positi</w:t>
      </w:r>
      <w:r>
        <w:t xml:space="preserve">ve within-female slope. When clutch order was accounted for, the within-female effect collapsed to zero (β_W = −0.0004, 95% CrI [−0.0045, 0.0035]). Thus, there was no evidence that females plastically traded egg number against egg size within clutches; the apparent association in the initial model was entirely explained by parallel </w:t>
      </w:r>
      <w:r>
        <w:lastRenderedPageBreak/>
        <w:t>declines from clutch one to clutch two. Summary Overall, egg size and egg number declined substantially between clutches. Persistent differences among females generated a moderat</w:t>
      </w:r>
      <w:r>
        <w: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14:paraId="4B08FA6E" w14:textId="77777777" w:rsidR="00B71035" w:rsidRDefault="008C7843">
      <w:pPr>
        <w:pStyle w:val="Heading1"/>
      </w:pPr>
      <w:bookmarkStart w:id="20" w:name="X2adf980c3cdf557e751ed69a8410e917bd83bb9"/>
      <w:bookmarkEnd w:id="19"/>
      <w:r>
        <w:t>Effect of clutch order on egg size and number</w:t>
      </w:r>
    </w:p>
    <w:p w14:paraId="327C31B1" w14:textId="77777777" w:rsidR="00B71035" w:rsidRDefault="008C7843">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618B2412" w14:textId="77777777" w:rsidR="00B71035" w:rsidRDefault="008C7843">
      <w:pPr>
        <w:pStyle w:val="Heading1"/>
      </w:pPr>
      <w:bookmarkStart w:id="21" w:name="correlations"/>
      <w:bookmarkEnd w:id="20"/>
      <w:r>
        <w:t>Correlations</w:t>
      </w:r>
    </w:p>
    <w:p w14:paraId="31F3BF66" w14:textId="77777777" w:rsidR="00B71035" w:rsidRDefault="008C7843">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Thus, ignoring hierarchical structure, there was no clear phenotypic association between the two traits. The between-female Pearson correlation calculated using female means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w:t>
      </w:r>
      <w:r>
        <w:lastRenderedPageBreak/>
        <w:t>[-0.55, -0.02]). Females that produced more eggs on average tended to lay smaller eggs. The multivariate Gaussian model partitioned covariation into among-female and residual components. After accounting for female identity, the residual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0.0025, 95% CI [-0.86, 0.85]). This indicates no evidence for consistent clutch-level covariation beyond hierarchical structure.</w:t>
      </w:r>
    </w:p>
    <w:p w14:paraId="6F02855E" w14:textId="77777777" w:rsidR="00B71035" w:rsidRDefault="008C7843">
      <w:pPr>
        <w:pStyle w:val="Heading1"/>
      </w:pPr>
      <w:bookmarkStart w:id="22" w:name="withinbetween-fixed-effects-models"/>
      <w:bookmarkEnd w:id="21"/>
      <w:r>
        <w:t>Within–between fixed-effects models</w:t>
      </w:r>
    </w:p>
    <w:p w14:paraId="4EC354C5" w14:textId="77777777" w:rsidR="00B71035" w:rsidRDefault="008C7843">
      <w:pPr>
        <w:pStyle w:val="FirstParagraph"/>
      </w:pPr>
      <w:r>
        <w:t>In the within–between mixed-effects model, egg size varied among females (random-intercept SD = 0.07, 95% CrI [0.00, 0.15]). The within-female effect of egg number on egg size was small and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0.0028, 95% CrI [-0.0005, 0.0061]). In contrast, the between-female effect was negative and its credible interval narrowly excluded zero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Allowing within-female slopes to vary among females produced similar fixed-effect estimates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0.0034, 95% CrI [-0.0004, 0.0076];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-0.0041, 95% CrI [-0.0082, -0.0002]). The variance in within-female slopes was small (SD = 0.0046, 95% CrI [0.0003, 0.0110]), and the intercept–slope correlation was highly uncertain (</w:t>
      </w:r>
      <w:r>
        <w:rPr>
          <w:i/>
          <w:iCs/>
        </w:rPr>
        <w:t>r</w:t>
      </w:r>
      <w:r>
        <w:t xml:space="preserve"> = 0.20, 95% CrI [-0.67, 0.85]).</w:t>
      </w:r>
    </w:p>
    <w:p w14:paraId="3697D984" w14:textId="77777777" w:rsidR="00B71035" w:rsidRDefault="008C7843">
      <w:pPr>
        <w:pStyle w:val="BodyText"/>
      </w:pPr>
      <w:r>
        <w:t>Standardized coefficients confirmed the difference in magnitude between hierarchical levels. The standardized within-female effect was positive but uncertain (</w:t>
      </w:r>
      <m:oMath>
        <m:sSub>
          <m:sSubPr>
            <m:ctrlPr>
              <w:rPr>
                <w:rFonts w:ascii="Cambria Math" w:hAnsi="Cambria Math"/>
              </w:rPr>
            </m:ctrlPr>
          </m:sSubPr>
          <m:e>
            <m:r>
              <w:rPr>
                <w:rFonts w:ascii="Cambria Math" w:hAnsi="Cambria Math"/>
              </w:rPr>
              <m:t>β</m:t>
            </m:r>
          </m:e>
          <m:sub>
            <m:r>
              <w:rPr>
                <w:rFonts w:ascii="Cambria Math" w:hAnsi="Cambria Math"/>
              </w:rPr>
              <m:t>Wstandardized</m:t>
            </m:r>
          </m:sub>
        </m:sSub>
      </m:oMath>
      <w:r>
        <w:t xml:space="preserve"> = 0.17, 95% CrI [-0.03, 0.38]). The standardized between-female effect was negative and did not overlap zero (</w:t>
      </w:r>
      <m:oMath>
        <m:sSub>
          <m:sSubPr>
            <m:ctrlPr>
              <w:rPr>
                <w:rFonts w:ascii="Cambria Math" w:hAnsi="Cambria Math"/>
              </w:rPr>
            </m:ctrlPr>
          </m:sSubPr>
          <m:e>
            <m:r>
              <w:rPr>
                <w:rFonts w:ascii="Cambria Math" w:hAnsi="Cambria Math"/>
              </w:rPr>
              <m:t>β</m:t>
            </m:r>
          </m:e>
          <m:sub>
            <m:r>
              <w:rPr>
                <w:rFonts w:ascii="Cambria Math" w:hAnsi="Cambria Math"/>
              </w:rPr>
              <m:t>Bstandardized</m:t>
            </m:r>
          </m:sub>
        </m:sSub>
      </m:oMath>
      <w:r>
        <w:t xml:space="preserve"> = -0.23, 95% CrI [-0.455, -0.006]). Thus, the negative association was stronger and more consistent among females than within females, a finding that supports the between-female Pearson correlation.</w:t>
      </w:r>
    </w:p>
    <w:p w14:paraId="7A806F85" w14:textId="77777777" w:rsidR="00B71035" w:rsidRDefault="008C7843">
      <w:pPr>
        <w:pStyle w:val="BodyText"/>
      </w:pPr>
      <w:r>
        <w:lastRenderedPageBreak/>
        <w:t>Because both egg number and egg size declined across clutches, I evaluated whether clutch order explained the within-female association. When clutch-order was included as a fixed effect, the within-female slope collapsed to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-0.0004, 95% CrI [-0.0045, 0.0035]). This indicates that the small positive within-female association observed in the initial model was driven by parallel clutch-order declines in both traits rather than plastic allocation within females.</w:t>
      </w:r>
    </w:p>
    <w:p w14:paraId="2C4347F7" w14:textId="77777777" w:rsidR="00B71035" w:rsidRDefault="008C7843">
      <w:pPr>
        <w:pStyle w:val="Heading1"/>
      </w:pPr>
      <w:bookmarkStart w:id="23" w:name="discussion"/>
      <w:bookmarkEnd w:id="22"/>
      <w:r>
        <w:t>Discussion</w:t>
      </w:r>
    </w:p>
    <w:p w14:paraId="2C2C91F1" w14:textId="77777777" w:rsidR="00B71035" w:rsidRDefault="008C7843">
      <w:pPr>
        <w:pStyle w:val="FirstParagraph"/>
      </w:pPr>
      <w:r>
        <w:t>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w:t>
      </w:r>
      <w:r>
        <w:t xml:space="preserv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w:t>
      </w:r>
      <w:r>
        <w:lastRenderedPageBreak/>
        <w:t>relationships are masked by among-individual variation. Indeed, I also observed a negative, albeit weake</w:t>
      </w:r>
      <w:r>
        <w:t>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44E7A1C4" w14:textId="77777777" w:rsidR="00B71035" w:rsidRDefault="008C7843">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 (Tourneur and Gingras 1992) and with one involving an Italian population (Koch and Meunier 2014). Tourneur and Gingras (1992) proximally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w:t>
      </w:r>
      <w:r>
        <w:t>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w:t>
      </w:r>
      <w:r>
        <w:t>ssumes that females use a resource-allocation strategy for eggs that does not vary across their clutches.</w:t>
      </w:r>
    </w:p>
    <w:p w14:paraId="0535C688" w14:textId="77777777" w:rsidR="00B71035" w:rsidRDefault="008C7843">
      <w:pPr>
        <w:pStyle w:val="BodyText"/>
      </w:pPr>
      <w:r>
        <w:lastRenderedPageBreak/>
        <w:t>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w:t>
      </w:r>
      <w:r>
        <w:t xml:space="preserve"> and to produce larger nymphs in </w:t>
      </w:r>
      <w:r>
        <w:rPr>
          <w:i/>
          <w:iCs/>
        </w:rPr>
        <w:t>F. auricularia</w:t>
      </w:r>
      <w:r>
        <w:t xml:space="preserve"> (Koch 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w:t>
      </w:r>
      <w:r>
        <w:t>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w:t>
      </w:r>
      <w:r>
        <w:t xml:space="preserve">at time-to-hatch is unrelated to egg mass in at least one (Italian) population of </w:t>
      </w:r>
      <w:r>
        <w:rPr>
          <w:i/>
          <w:iCs/>
        </w:rPr>
        <w:t>F. auricularia</w:t>
      </w:r>
      <w:r>
        <w:t xml:space="preserve"> (Koch and Meunier 2014).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w:t>
      </w:r>
      <w:r>
        <w:t xml:space="preserve">rce allocation may exceed variance in </w:t>
      </w:r>
      <w:r>
        <w:lastRenderedPageBreak/>
        <w:t>resource acquisition in this population of earwigs (see Careau and Wilson 2017). In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w:t>
      </w:r>
      <w:r>
        <w:t xml:space="preserve">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7B0DF937" w14:textId="77777777" w:rsidR="00B71035" w:rsidRDefault="008C7843">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621E9A74" w14:textId="77777777" w:rsidR="00B71035" w:rsidRDefault="008C7843">
      <w:pPr>
        <w:pStyle w:val="BodyText"/>
      </w:pPr>
      <w:r>
        <w:t xml:space="preserve">In contrast, I found evidence that variation in egg size within a clutch was greater in second clutches than in first clutches, the opposite of the pattern observed in birds. (e.g., Yosef and </w:t>
      </w:r>
      <w:r>
        <w:lastRenderedPageBreak/>
        <w:t>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r>
        <w:rPr>
          <w:i/>
          <w:iCs/>
        </w:rPr>
        <w:t>Paris caeruleus</w:t>
      </w:r>
      <w:r>
        <w:t>) in better nutritional condition had clutc</w:t>
      </w:r>
      <w:r>
        <w:t>hes with less variation in egg size (Nilsson and Svensson 1993).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w:t>
      </w:r>
      <w:r>
        <w:t>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w:t>
      </w:r>
      <w:r>
        <w:t>tion in egg size is adaptive in birds. For example, larger eggs later in the egg-laying sequence may be a brood-survival strategy that counteracts the effects of hatching asynchrony, whereas smaller eggs later in the laying sequence may be a brood-reduction strategy (Slagsvold et al. 1984). However, it is unknown whether variation in egg size has an equivalent adaptive function in insects expressing maternal care.</w:t>
      </w:r>
    </w:p>
    <w:p w14:paraId="4B184E80" w14:textId="77777777" w:rsidR="00B71035" w:rsidRDefault="008C7843">
      <w:pPr>
        <w:pStyle w:val="BodyText"/>
      </w:pPr>
      <w:r>
        <w:lastRenderedPageBreak/>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7E884FB9" w14:textId="77777777" w:rsidR="00B71035" w:rsidRDefault="008C7843">
      <w:pPr>
        <w:pStyle w:val="Heading1"/>
      </w:pPr>
      <w:bookmarkStart w:id="24" w:name="data-availability"/>
      <w:bookmarkEnd w:id="23"/>
      <w:r>
        <w:t>Data availability</w:t>
      </w:r>
    </w:p>
    <w:p w14:paraId="4E677A7F" w14:textId="77777777" w:rsidR="00B71035" w:rsidRDefault="008C7843">
      <w:pPr>
        <w:pStyle w:val="FirstParagraph"/>
      </w:pPr>
      <w:r>
        <w:t>Data are available through the OSF repository at 10.17605/OSF.IO/KWCS8.</w:t>
      </w:r>
    </w:p>
    <w:p w14:paraId="72D33193" w14:textId="77777777" w:rsidR="00B71035" w:rsidRDefault="008C7843">
      <w:pPr>
        <w:pStyle w:val="Heading1"/>
      </w:pPr>
      <w:bookmarkStart w:id="25" w:name="author-contributions"/>
      <w:bookmarkEnd w:id="24"/>
      <w:r>
        <w:t>Author contributions</w:t>
      </w:r>
    </w:p>
    <w:p w14:paraId="2B21D3A2" w14:textId="77777777" w:rsidR="00B71035" w:rsidRDefault="008C7843">
      <w:pPr>
        <w:pStyle w:val="FirstParagraph"/>
      </w:pPr>
      <w:r>
        <w:t>CDK collected and analyzed the data, and wrote the manuscript.</w:t>
      </w:r>
    </w:p>
    <w:p w14:paraId="4BC0B1A9" w14:textId="77777777" w:rsidR="00B71035" w:rsidRDefault="008C7843">
      <w:pPr>
        <w:pStyle w:val="Heading1"/>
      </w:pPr>
      <w:bookmarkStart w:id="26" w:name="funding"/>
      <w:bookmarkEnd w:id="25"/>
      <w:r>
        <w:t>Funding</w:t>
      </w:r>
    </w:p>
    <w:p w14:paraId="3A6C88FF" w14:textId="77777777" w:rsidR="00B71035" w:rsidRDefault="008C7843">
      <w:pPr>
        <w:pStyle w:val="FirstParagraph"/>
      </w:pPr>
      <w:r>
        <w:t>The study was funded by a Discovery Grant from the Natural Sciences and Engineering Research Council of Canada (NSERC).</w:t>
      </w:r>
    </w:p>
    <w:p w14:paraId="70D067FD" w14:textId="77777777" w:rsidR="00B71035" w:rsidRDefault="008C7843">
      <w:pPr>
        <w:pStyle w:val="Heading1"/>
      </w:pPr>
      <w:bookmarkStart w:id="27" w:name="conflict-of-interest"/>
      <w:bookmarkEnd w:id="26"/>
      <w:r>
        <w:t>Conflict of Interest</w:t>
      </w:r>
    </w:p>
    <w:p w14:paraId="06324E73" w14:textId="77777777" w:rsidR="00B71035" w:rsidRDefault="008C7843">
      <w:pPr>
        <w:pStyle w:val="FirstParagraph"/>
      </w:pPr>
      <w:r>
        <w:t>I declare no conflict of interest.</w:t>
      </w:r>
    </w:p>
    <w:p w14:paraId="52F836B7" w14:textId="77777777" w:rsidR="00B71035" w:rsidRDefault="008C7843">
      <w:pPr>
        <w:pStyle w:val="Heading1"/>
      </w:pPr>
      <w:bookmarkStart w:id="28" w:name="acknowledgements"/>
      <w:bookmarkEnd w:id="27"/>
      <w:r>
        <w:t>Acknowledgements</w:t>
      </w:r>
    </w:p>
    <w:p w14:paraId="1757F961" w14:textId="77777777" w:rsidR="00B71035" w:rsidRDefault="008C7843">
      <w:pPr>
        <w:pStyle w:val="FirstParagraph"/>
      </w:pPr>
      <w:r>
        <w:t>I thank Andréanne Nault and Clara Smythe for assistance in animal care and data collection.</w:t>
      </w:r>
    </w:p>
    <w:p w14:paraId="2506AB1F" w14:textId="77777777" w:rsidR="00B71035" w:rsidRDefault="008C7843">
      <w:r>
        <w:br w:type="page"/>
      </w:r>
    </w:p>
    <w:p w14:paraId="0BDF9689" w14:textId="77777777" w:rsidR="00B71035" w:rsidRDefault="008C7843">
      <w:pPr>
        <w:pStyle w:val="Heading1"/>
      </w:pPr>
      <w:bookmarkStart w:id="29" w:name="references"/>
      <w:bookmarkEnd w:id="28"/>
      <w:r>
        <w:lastRenderedPageBreak/>
        <w:t>References</w:t>
      </w:r>
    </w:p>
    <w:p w14:paraId="1B9ECA2E" w14:textId="77777777" w:rsidR="00B71035" w:rsidRDefault="008C7843">
      <w:pPr>
        <w:pStyle w:val="Bibliography"/>
      </w:pPr>
      <w:bookmarkStart w:id="30" w:name="ref-bernardo1996"/>
      <w:bookmarkStart w:id="31" w:name="refs"/>
      <w:r>
        <w:t>Bernardo, J. 1996. The particular maternal effect of propagule size, especially egg size: Patterns, models, quality of evidence and interpretations. Am Zool 36:216–236.</w:t>
      </w:r>
    </w:p>
    <w:p w14:paraId="35BF1A55" w14:textId="77777777" w:rsidR="00B71035" w:rsidRDefault="008C7843">
      <w:pPr>
        <w:pStyle w:val="Bibliography"/>
      </w:pPr>
      <w:bookmarkStart w:id="32" w:name="ref-boos2014"/>
      <w:bookmarkEnd w:id="30"/>
      <w:r>
        <w:t>Boos, S., J. Meunier, S. Pichon, and M. Kölliker. 2014. Maternal care provides antifungal protection to eggs in the european earwig. Behav Ecol 25:754–761.</w:t>
      </w:r>
    </w:p>
    <w:p w14:paraId="7F61FDA0" w14:textId="77777777" w:rsidR="00B71035" w:rsidRDefault="008C7843">
      <w:pPr>
        <w:pStyle w:val="Bibliography"/>
      </w:pPr>
      <w:bookmarkStart w:id="33" w:name="ref-careau2017"/>
      <w:bookmarkEnd w:id="32"/>
      <w:r>
        <w:t>Careau, V., and R. Wilson. 2017. Of uberfleas and krakens: Detecting trade-offs using mixed models. Integr Comp Biol 57:362–371.</w:t>
      </w:r>
    </w:p>
    <w:p w14:paraId="6D4BDFA7" w14:textId="77777777" w:rsidR="00B71035" w:rsidRDefault="008C7843">
      <w:pPr>
        <w:pStyle w:val="Bibliography"/>
      </w:pPr>
      <w:bookmarkStart w:id="34" w:name="ref-cavaleiro2014"/>
      <w:bookmarkEnd w:id="33"/>
      <w:r>
        <w:t>Cavaleiro, F. I., and M. J. Santos. 2014. Egg number-egg size: An important trade-off in parasite life history strategies. Int J Parasitol 44:173–182.</w:t>
      </w:r>
    </w:p>
    <w:p w14:paraId="12D00587" w14:textId="77777777" w:rsidR="00B71035" w:rsidRDefault="008C7843">
      <w:pPr>
        <w:pStyle w:val="Bibliography"/>
      </w:pPr>
      <w:bookmarkStart w:id="35" w:name="ref-church2019"/>
      <w:bookmarkEnd w:id="34"/>
      <w:r>
        <w:t>Church, S. H., S. Donoughe, B. A. S. de Medeiros, and C. G. Extavour. 2019. Insect egg size and shape evolve with ecology but not developmental rate. Nature 571:58–62.</w:t>
      </w:r>
    </w:p>
    <w:p w14:paraId="5170C942" w14:textId="77777777" w:rsidR="00B71035" w:rsidRDefault="008C7843">
      <w:pPr>
        <w:pStyle w:val="Bibliography"/>
      </w:pPr>
      <w:bookmarkStart w:id="36" w:name="ref-clutton-brock1984"/>
      <w:bookmarkEnd w:id="35"/>
      <w:r>
        <w:t>Clutton-Brock, T. H. 1984. Reproductive effort and terminal investment in iteroparous animals. Am Nat 123:212–229.</w:t>
      </w:r>
    </w:p>
    <w:p w14:paraId="6EE5D22C" w14:textId="77777777" w:rsidR="00B71035" w:rsidRDefault="008C7843">
      <w:pPr>
        <w:pStyle w:val="Bibliography"/>
      </w:pPr>
      <w:bookmarkStart w:id="37" w:name="ref-clutton-brock1991"/>
      <w:bookmarkEnd w:id="36"/>
      <w:r>
        <w:t>Clutton-Brock, T. H. 1991. The Evolution of Parental Care. Princeton University Press.</w:t>
      </w:r>
    </w:p>
    <w:p w14:paraId="01BCE317" w14:textId="77777777" w:rsidR="00B71035" w:rsidRDefault="008C7843">
      <w:pPr>
        <w:pStyle w:val="Bibliography"/>
      </w:pPr>
      <w:bookmarkStart w:id="38" w:name="ref-einum2000"/>
      <w:bookmarkEnd w:id="37"/>
      <w:r>
        <w:t>Einum, S., and I. A. Fleming. 2000. Highly fecund mothers sacrifice offspring survival to maximize fitness. Nature 405:565–567.</w:t>
      </w:r>
    </w:p>
    <w:p w14:paraId="46609BA2" w14:textId="77777777" w:rsidR="00B71035" w:rsidRDefault="008C7843">
      <w:pPr>
        <w:pStyle w:val="Bibliography"/>
      </w:pPr>
      <w:bookmarkStart w:id="39" w:name="ref-falconer1996"/>
      <w:bookmarkEnd w:id="38"/>
      <w:r>
        <w:t>Falconer, D. S., and T. F. C. MacKay. 1996. An Introduction Quantitative Genetics. Pearson Education Limited, Essex, England.</w:t>
      </w:r>
    </w:p>
    <w:p w14:paraId="033F6B20" w14:textId="77777777" w:rsidR="00B71035" w:rsidRDefault="008C7843">
      <w:pPr>
        <w:pStyle w:val="Bibliography"/>
      </w:pPr>
      <w:bookmarkStart w:id="40" w:name="ref-ficetola2009"/>
      <w:bookmarkEnd w:id="39"/>
      <w:r>
        <w:t>Ficetola, G. F., and F. De Bernardi. 2009. Offspring size and survival in the frog rana latastei: From among-population to within-clutch variation. Biol J Linn Soc 97:845–853.</w:t>
      </w:r>
    </w:p>
    <w:p w14:paraId="32FD69DE" w14:textId="77777777" w:rsidR="00B71035" w:rsidRDefault="008C7843">
      <w:pPr>
        <w:pStyle w:val="Bibliography"/>
      </w:pPr>
      <w:bookmarkStart w:id="41" w:name="ref-fox2000"/>
      <w:bookmarkEnd w:id="40"/>
      <w:r>
        <w:t>Fox, C. W., and M. E. Czesak. 2000. Evolutionary ecology of progeny size in arthropods. Annu Rev Entomol 45:341–369.</w:t>
      </w:r>
    </w:p>
    <w:p w14:paraId="3ED328D1" w14:textId="77777777" w:rsidR="00B71035" w:rsidRDefault="008C7843">
      <w:pPr>
        <w:pStyle w:val="Bibliography"/>
      </w:pPr>
      <w:bookmarkStart w:id="42" w:name="ref-hargitai2005"/>
      <w:bookmarkEnd w:id="41"/>
      <w:r>
        <w:t>Hargitai, R., J. Török, L. Tóth, G. Hegyi, B. Rosivall, B. Szigeti, and E. Szöllősi. 2005. Effects of environmental conditions and parental quality on inter-and intraclutch egg-size variation in the collared flycatcher (ficedula albicollis). The Auk 122:509–522.</w:t>
      </w:r>
    </w:p>
    <w:p w14:paraId="45D1A920" w14:textId="77777777" w:rsidR="00B71035" w:rsidRDefault="008C7843">
      <w:pPr>
        <w:pStyle w:val="Bibliography"/>
      </w:pPr>
      <w:bookmarkStart w:id="43" w:name="ref-harvey1983"/>
      <w:bookmarkEnd w:id="42"/>
      <w:r>
        <w:t>Harvey, G. T. 1983. Environmental and genetic effects on mean egg weight in spruce budworm (lepidoptera: tortricidae). The Canadian Entomologist 115:1109–1117.</w:t>
      </w:r>
    </w:p>
    <w:p w14:paraId="17520A3E" w14:textId="77777777" w:rsidR="00B71035" w:rsidRDefault="008C7843">
      <w:pPr>
        <w:pStyle w:val="Bibliography"/>
      </w:pPr>
      <w:bookmarkStart w:id="44" w:name="ref-kelly2014"/>
      <w:bookmarkEnd w:id="43"/>
      <w:r>
        <w:t>Kelly, C. D., B. Tawes, and A. Worthington. 2014. Evaluating indices of body condition in two cricket species. Ecology and Evolution 4:4476–4487.</w:t>
      </w:r>
    </w:p>
    <w:p w14:paraId="415FA94A" w14:textId="77777777" w:rsidR="00B71035" w:rsidRDefault="008C7843">
      <w:pPr>
        <w:pStyle w:val="Bibliography"/>
      </w:pPr>
      <w:bookmarkStart w:id="45" w:name="ref-koch2014"/>
      <w:bookmarkEnd w:id="44"/>
      <w:r>
        <w:t>Koch, L. K., and J. Meunier. 2014. Mother and offspring fitness in an insect with maternal care: Phenotypic trade-offs between egg number, egg mass and egg care. BMC Evol Biol 14:125.</w:t>
      </w:r>
    </w:p>
    <w:p w14:paraId="0DEE61A4" w14:textId="77777777" w:rsidR="00B71035" w:rsidRDefault="008C7843">
      <w:pPr>
        <w:pStyle w:val="Bibliography"/>
      </w:pPr>
      <w:bookmarkStart w:id="46" w:name="ref-kolliker2007"/>
      <w:bookmarkEnd w:id="45"/>
      <w:r>
        <w:lastRenderedPageBreak/>
        <w:t>Kölliker, M. 2007. Benefits and costs of earwig (forficula auricularia) family life. Behav Ecol Sociobiol 61:1489–1497.</w:t>
      </w:r>
    </w:p>
    <w:p w14:paraId="0D247752" w14:textId="77777777" w:rsidR="00B71035" w:rsidRDefault="008C7843">
      <w:pPr>
        <w:pStyle w:val="Bibliography"/>
      </w:pPr>
      <w:bookmarkStart w:id="47" w:name="ref-meunier2024"/>
      <w:bookmarkEnd w:id="46"/>
      <w:r>
        <w:t>Meunier, J. 2024. The biology and social life of earwigs (dermaptera). Annu Rev Entomol 69:259–276.</w:t>
      </w:r>
    </w:p>
    <w:p w14:paraId="4B0234BE" w14:textId="77777777" w:rsidR="00B71035" w:rsidRDefault="008C7843">
      <w:pPr>
        <w:pStyle w:val="Bibliography"/>
      </w:pPr>
      <w:bookmarkStart w:id="48" w:name="ref-nelson2004"/>
      <w:bookmarkEnd w:id="47"/>
      <w:r>
        <w:t>Nelson, N. J., M. B. Thompson, S. Pledger, S. N. Keall, and C. H. Daugherty. 2004. Egg mass determines hatchling size, and incubation temperature influences post‐hatching growth, of tuatara sphenodon punctatus. J Zool 263:77–87.</w:t>
      </w:r>
    </w:p>
    <w:p w14:paraId="2EAE4074" w14:textId="77777777" w:rsidR="00B71035" w:rsidRDefault="008C7843">
      <w:pPr>
        <w:pStyle w:val="Bibliography"/>
      </w:pPr>
      <w:bookmarkStart w:id="49" w:name="ref-nilsson1993"/>
      <w:bookmarkEnd w:id="48"/>
      <w:r>
        <w:t>Nilsson, J. ‐Å., and E. Svensson. 1993. Causes and consequences of egg mass variation between and within blue tit clutches. J Zool 230:469–481.</w:t>
      </w:r>
    </w:p>
    <w:p w14:paraId="6DEB7D67" w14:textId="77777777" w:rsidR="00B71035" w:rsidRDefault="008C7843">
      <w:pPr>
        <w:pStyle w:val="Bibliography"/>
      </w:pPr>
      <w:bookmarkStart w:id="50" w:name="ref-parker1982"/>
      <w:bookmarkEnd w:id="49"/>
      <w:r>
        <w:t>Parker, G. A. 1982. Why are there so many tiny sperm? Sperm competition and the maintenance of two sexes. J Theor Biol 96:281–294.</w:t>
      </w:r>
    </w:p>
    <w:p w14:paraId="7E36BB65" w14:textId="77777777" w:rsidR="00B71035" w:rsidRDefault="008C7843">
      <w:pPr>
        <w:pStyle w:val="Bibliography"/>
      </w:pPr>
      <w:bookmarkStart w:id="51" w:name="ref-peig2009"/>
      <w:bookmarkEnd w:id="50"/>
      <w:r>
        <w:t>Peig, J., and A. J. Green. 2009. New perspectives for estimating body condition from mass/length data: The scaled mass index as an alternative method. Oikos 118:1883–1891.</w:t>
      </w:r>
    </w:p>
    <w:p w14:paraId="14C00FF3" w14:textId="77777777" w:rsidR="00B71035" w:rsidRDefault="008C7843">
      <w:pPr>
        <w:pStyle w:val="Bibliography"/>
      </w:pPr>
      <w:bookmarkStart w:id="52" w:name="ref-peig2010"/>
      <w:bookmarkEnd w:id="51"/>
      <w:r>
        <w:t>Peig, J., and A. J. Green. 2010. The paradigm of body condition: A critical reappraisal of current methods based on mass and length. Funct Ecol 24:1323–1332.</w:t>
      </w:r>
    </w:p>
    <w:p w14:paraId="2730934D" w14:textId="77777777" w:rsidR="00B71035" w:rsidRDefault="008C7843">
      <w:pPr>
        <w:pStyle w:val="Bibliography"/>
      </w:pPr>
      <w:bookmarkStart w:id="53" w:name="ref-r2013"/>
      <w:bookmarkEnd w:id="52"/>
      <w:r>
        <w:t>R Core Team. 2025. R: A language and environment for statistical computing. Vienna, Austria.</w:t>
      </w:r>
    </w:p>
    <w:p w14:paraId="0D8FC964" w14:textId="77777777" w:rsidR="00B71035" w:rsidRDefault="008C7843">
      <w:pPr>
        <w:pStyle w:val="Bibliography"/>
      </w:pPr>
      <w:bookmarkStart w:id="54" w:name="ref-reznick2000"/>
      <w:bookmarkEnd w:id="53"/>
      <w:r>
        <w:t>Reznick, D., L. Nunney, and A. Tessier. 2000. Big houses, big cars, superfleas and the costs of reproduction. Trends Ecol Evol 15:421–425.</w:t>
      </w:r>
    </w:p>
    <w:p w14:paraId="602DC1B1" w14:textId="77777777" w:rsidR="00B71035" w:rsidRDefault="008C7843">
      <w:pPr>
        <w:pStyle w:val="Bibliography"/>
      </w:pPr>
      <w:bookmarkStart w:id="55" w:name="ref-roff1992a"/>
      <w:bookmarkEnd w:id="54"/>
      <w:r>
        <w:t>Roff, D. 1992. Evolution of Life Histories: Theory and Analysis. Chapman &amp; Hall, Inc., New York, NY.</w:t>
      </w:r>
    </w:p>
    <w:p w14:paraId="566C7E43" w14:textId="77777777" w:rsidR="00B71035" w:rsidRDefault="008C7843">
      <w:pPr>
        <w:pStyle w:val="Bibliography"/>
      </w:pPr>
      <w:bookmarkStart w:id="56" w:name="ref-schindelin2012"/>
      <w:bookmarkEnd w:id="55"/>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1B34BDD0" w14:textId="77777777" w:rsidR="00B71035" w:rsidRDefault="008C7843">
      <w:pPr>
        <w:pStyle w:val="Bibliography"/>
      </w:pPr>
      <w:bookmarkStart w:id="57" w:name="ref-seko2006"/>
      <w:bookmarkEnd w:id="56"/>
      <w:r>
        <w:t>Seko, T., T. Miyatake, S. Fujioka, and F. Nakasuji. 2006. Genetic and environmental sources of egg size, fecundity and body size in the migrant skipper, parnara guttata guttata (lepidoptera: hesperiidae). Popul Ecol 48:225–232.</w:t>
      </w:r>
    </w:p>
    <w:p w14:paraId="51629680" w14:textId="77777777" w:rsidR="00B71035" w:rsidRDefault="008C7843">
      <w:pPr>
        <w:pStyle w:val="Bibliography"/>
      </w:pPr>
      <w:bookmarkStart w:id="58" w:name="ref-shine1978"/>
      <w:bookmarkEnd w:id="57"/>
      <w:r>
        <w:t>Shine, R. 1978. Propagule size and parental care: The “safe harbor” hypothesis. J Theor Biol 75:417–424.</w:t>
      </w:r>
    </w:p>
    <w:p w14:paraId="4E348058" w14:textId="77777777" w:rsidR="00B71035" w:rsidRDefault="008C7843">
      <w:pPr>
        <w:pStyle w:val="Bibliography"/>
      </w:pPr>
      <w:bookmarkStart w:id="59" w:name="ref-simpson1951"/>
      <w:bookmarkEnd w:id="58"/>
      <w:r>
        <w:t>Simpson, E. H. 1951. The interpretation of interaction in contingency tables. Journal of the Royal Statistical Society: Series B (Methodological) 13:238–241.</w:t>
      </w:r>
    </w:p>
    <w:p w14:paraId="4F2C939F" w14:textId="77777777" w:rsidR="00B71035" w:rsidRDefault="008C7843">
      <w:pPr>
        <w:pStyle w:val="Bibliography"/>
      </w:pPr>
      <w:bookmarkStart w:id="60" w:name="ref-slagsvold1984"/>
      <w:bookmarkEnd w:id="59"/>
      <w:r>
        <w:lastRenderedPageBreak/>
        <w:t>Slagsvold, T., J. Sandvik, G. Rofstad, Ö. Lorentsen, and M. Husby. 1984. On the adaptive value of intraclutch egg-size variation in birds. The Auk 101:685–697.</w:t>
      </w:r>
    </w:p>
    <w:p w14:paraId="7C282AED" w14:textId="77777777" w:rsidR="00B71035" w:rsidRDefault="008C7843">
      <w:pPr>
        <w:pStyle w:val="Bibliography"/>
      </w:pPr>
      <w:bookmarkStart w:id="61" w:name="ref-smith1974"/>
      <w:bookmarkEnd w:id="60"/>
      <w:r>
        <w:t>Smith, C. C., and S. D. Fretwell. 1974. The optimal balance between size and number of offspring. Am Nat 108:499–506.</w:t>
      </w:r>
    </w:p>
    <w:p w14:paraId="2C03C314" w14:textId="77777777" w:rsidR="00B71035" w:rsidRDefault="008C7843">
      <w:pPr>
        <w:pStyle w:val="Bibliography"/>
      </w:pPr>
      <w:bookmarkStart w:id="62" w:name="ref-staerkle2008"/>
      <w:bookmarkEnd w:id="61"/>
      <w:r>
        <w:t>Staerkle, M., and M. Kölliker. 2008. Maternal food regurgitation to nymphs in earwigs (</w:t>
      </w:r>
      <w:r>
        <w:rPr>
          <w:i/>
          <w:iCs/>
        </w:rPr>
        <w:t>forficula auricularia</w:t>
      </w:r>
      <w:r>
        <w:t>). Ethology 114:844–850.</w:t>
      </w:r>
    </w:p>
    <w:p w14:paraId="275FAF35" w14:textId="77777777" w:rsidR="00B71035" w:rsidRDefault="008C7843">
      <w:pPr>
        <w:pStyle w:val="Bibliography"/>
      </w:pPr>
      <w:bookmarkStart w:id="63" w:name="ref-stearns1992"/>
      <w:bookmarkEnd w:id="62"/>
      <w:r>
        <w:t>Stearns, S. C. 1992. The Evolution of Life Histories. Oxford University Press.</w:t>
      </w:r>
    </w:p>
    <w:p w14:paraId="1CD14F09" w14:textId="77777777" w:rsidR="00B71035" w:rsidRDefault="008C7843">
      <w:pPr>
        <w:pStyle w:val="Bibliography"/>
      </w:pPr>
      <w:bookmarkStart w:id="64" w:name="ref-stoffel2017"/>
      <w:bookmarkEnd w:id="63"/>
      <w:r>
        <w:t>Stoffel, M. A., S. Nakagawa, and H. Schielzeth. 2017. RptR: Repeatability estimation and variance decomposition by generalized linear mixed‐effects models. Methods Ecol Evol 8:1639–1644.</w:t>
      </w:r>
    </w:p>
    <w:p w14:paraId="24D1CA63" w14:textId="77777777" w:rsidR="00B71035" w:rsidRDefault="008C7843">
      <w:pPr>
        <w:pStyle w:val="Bibliography"/>
      </w:pPr>
      <w:bookmarkStart w:id="65" w:name="ref-torres-vila2012"/>
      <w:bookmarkEnd w:id="64"/>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1F4E01B2" w14:textId="77777777" w:rsidR="00B71035" w:rsidRDefault="008C7843">
      <w:pPr>
        <w:pStyle w:val="Bibliography"/>
      </w:pPr>
      <w:bookmarkStart w:id="66" w:name="ref-tourneur2018"/>
      <w:bookmarkEnd w:id="65"/>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0EA3D951" w14:textId="77777777" w:rsidR="00B71035" w:rsidRDefault="008C7843">
      <w:pPr>
        <w:pStyle w:val="Bibliography"/>
      </w:pPr>
      <w:bookmarkStart w:id="67" w:name="ref-tourneur1992"/>
      <w:bookmarkEnd w:id="66"/>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3ED4AF20" w14:textId="77777777" w:rsidR="00B71035" w:rsidRDefault="008C7843">
      <w:pPr>
        <w:pStyle w:val="Bibliography"/>
      </w:pPr>
      <w:bookmarkStart w:id="68" w:name="ref-vannoordwijk1986"/>
      <w:bookmarkEnd w:id="67"/>
      <w:r>
        <w:t>Van Noordwijk, A. J., and G. de Jong. 1986. Acquisition and allocation of resources: Their influence on variation in life history tactics. Am Nat 128:137–142.</w:t>
      </w:r>
    </w:p>
    <w:p w14:paraId="004F2908" w14:textId="77777777" w:rsidR="00B71035" w:rsidRDefault="008C7843">
      <w:pPr>
        <w:pStyle w:val="Bibliography"/>
      </w:pPr>
      <w:bookmarkStart w:id="69" w:name="ref-williams1994"/>
      <w:bookmarkEnd w:id="68"/>
      <w:r>
        <w:t>Williams, T. D. 1994. Intraspecific variation in egg size and egg composition in birds: Effects on offspring fitness. Biol Rev Camb Philos Soc 69:35–59.</w:t>
      </w:r>
    </w:p>
    <w:p w14:paraId="77E5D98A" w14:textId="77777777" w:rsidR="00B71035" w:rsidRDefault="008C7843">
      <w:pPr>
        <w:pStyle w:val="Bibliography"/>
      </w:pPr>
      <w:bookmarkStart w:id="70" w:name="ref-winkler1987"/>
      <w:bookmarkEnd w:id="69"/>
      <w:r>
        <w:t>Winkler, D. W., and K. Wallin. 1987. Offspring size and number: A life history model linking effort per offspring and total effort. Am Nat 129:708–720.</w:t>
      </w:r>
    </w:p>
    <w:p w14:paraId="47D787D5" w14:textId="77777777" w:rsidR="00B71035" w:rsidRDefault="008C7843">
      <w:pPr>
        <w:pStyle w:val="Bibliography"/>
      </w:pPr>
      <w:bookmarkStart w:id="71" w:name="ref-yanagi2006"/>
      <w:bookmarkEnd w:id="70"/>
      <w:r>
        <w:t>Yanagi, S., T. Oikawa, and T. Miyatake. 2006. Heritability and genetic correlation estimates for egg size and number in callosobruchus chinensis (coleoptera: bruchidae). Ann Entomol Soc Am 99:364–368.</w:t>
      </w:r>
    </w:p>
    <w:p w14:paraId="3282D278" w14:textId="77777777" w:rsidR="00B71035" w:rsidRDefault="008C7843">
      <w:pPr>
        <w:pStyle w:val="Bibliography"/>
      </w:pPr>
      <w:bookmarkStart w:id="72" w:name="ref-yosef2008"/>
      <w:bookmarkEnd w:id="71"/>
      <w:r>
        <w:t>Yosef, R., and P. Zduniak. 2008. Variation in clutch size, egg size variability and reproductive output in the desert finch (rhodospiza obsoleta). J Arid Environ 72:1631–1635.</w:t>
      </w:r>
    </w:p>
    <w:bookmarkEnd w:id="31"/>
    <w:bookmarkEnd w:id="72"/>
    <w:p w14:paraId="5FD10222" w14:textId="77777777" w:rsidR="00B71035" w:rsidRDefault="008C7843">
      <w:pPr>
        <w:pStyle w:val="BodyText"/>
      </w:pPr>
      <w:r>
        <w:t>—– end of section:</w:t>
      </w:r>
    </w:p>
    <w:p w14:paraId="704BC98F" w14:textId="77777777" w:rsidR="00B71035" w:rsidRDefault="008C7843">
      <w:pPr>
        <w:pStyle w:val="BodyText"/>
      </w:pPr>
      <w:r>
        <w:lastRenderedPageBreak/>
        <w:t>##Figures</w:t>
      </w:r>
    </w:p>
    <w:tbl>
      <w:tblPr>
        <w:tblStyle w:val="Table"/>
        <w:tblW w:w="5000" w:type="pct"/>
        <w:tblLayout w:type="fixed"/>
        <w:tblLook w:val="0000" w:firstRow="0" w:lastRow="0" w:firstColumn="0" w:lastColumn="0" w:noHBand="0" w:noVBand="0"/>
      </w:tblPr>
      <w:tblGrid>
        <w:gridCol w:w="9620"/>
      </w:tblGrid>
      <w:tr w:rsidR="00B71035" w14:paraId="6B6BB00A" w14:textId="77777777">
        <w:tc>
          <w:tcPr>
            <w:tcW w:w="7920" w:type="dxa"/>
          </w:tcPr>
          <w:p w14:paraId="268072C7" w14:textId="77777777" w:rsidR="00B71035" w:rsidRDefault="008C7843">
            <w:pPr>
              <w:pStyle w:val="Compact"/>
              <w:jc w:val="center"/>
            </w:pPr>
            <w:bookmarkStart w:id="73" w:name="fig-one"/>
            <w:r>
              <w:rPr>
                <w:noProof/>
              </w:rPr>
              <w:drawing>
                <wp:inline distT="0" distB="0" distL="0" distR="0" wp14:anchorId="545B7255" wp14:editId="533DFB3F">
                  <wp:extent cx="3810000" cy="254000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28C0117D" w14:textId="77777777" w:rsidR="00B71035" w:rsidRDefault="008C7843">
            <w:pPr>
              <w:pStyle w:val="ImageCaption"/>
              <w:spacing w:before="200"/>
            </w:pPr>
            <w:r>
              <w:t>Figure 1: Mean egg perimeter (mm) plotted against clutch size for the first (salmon) and second (blue) clutches of n = 42 female European earwigs (</w:t>
            </w:r>
            <w:r>
              <w:rPr>
                <w:i/>
                <w:iCs/>
              </w:rPr>
              <w:t>F. auricularia</w:t>
            </w:r>
            <w:r>
              <w:t>). Data are raw values.</w:t>
            </w:r>
          </w:p>
        </w:tc>
        <w:bookmarkEnd w:id="73"/>
      </w:tr>
    </w:tbl>
    <w:p w14:paraId="1D4D625A" w14:textId="77777777" w:rsidR="00B71035" w:rsidRDefault="008C7843">
      <w:pPr>
        <w:pStyle w:val="BodyText"/>
      </w:pPr>
      <w:r>
        <w:t xml:space="preserve"> </w:t>
      </w:r>
    </w:p>
    <w:tbl>
      <w:tblPr>
        <w:tblStyle w:val="Table"/>
        <w:tblW w:w="5000" w:type="pct"/>
        <w:tblLayout w:type="fixed"/>
        <w:tblLook w:val="0000" w:firstRow="0" w:lastRow="0" w:firstColumn="0" w:lastColumn="0" w:noHBand="0" w:noVBand="0"/>
      </w:tblPr>
      <w:tblGrid>
        <w:gridCol w:w="9620"/>
      </w:tblGrid>
      <w:tr w:rsidR="00B71035" w14:paraId="3A0FA02C" w14:textId="77777777">
        <w:tc>
          <w:tcPr>
            <w:tcW w:w="7920" w:type="dxa"/>
          </w:tcPr>
          <w:p w14:paraId="3CC2CDC5" w14:textId="77777777" w:rsidR="00B71035" w:rsidRDefault="008C7843">
            <w:pPr>
              <w:pStyle w:val="Compact"/>
              <w:jc w:val="center"/>
            </w:pPr>
            <w:bookmarkStart w:id="74" w:name="fig-two"/>
            <w:r>
              <w:rPr>
                <w:noProof/>
              </w:rPr>
              <w:drawing>
                <wp:inline distT="0" distB="0" distL="0" distR="0" wp14:anchorId="0BDC8DF6" wp14:editId="273EC353">
                  <wp:extent cx="3810000" cy="2540000"/>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185CC574" w14:textId="77777777" w:rsidR="00B71035" w:rsidRDefault="008C7843">
            <w:pPr>
              <w:pStyle w:val="ImageCaption"/>
              <w:spacing w:before="200"/>
            </w:pPr>
            <w:r>
              <w:t>Figure 2: (a) Among and (b) within-female egg size variation in the first and second clutches of n = 42 female European earwigs (</w:t>
            </w:r>
            <w:r>
              <w:rPr>
                <w:i/>
                <w:iCs/>
              </w:rPr>
              <w:t>F. auricularia</w:t>
            </w:r>
            <w:r>
              <w:t>).</w:t>
            </w:r>
          </w:p>
        </w:tc>
        <w:bookmarkEnd w:id="74"/>
      </w:tr>
      <w:bookmarkEnd w:id="29"/>
    </w:tbl>
    <w:p w14:paraId="04809832" w14:textId="77777777" w:rsidR="008C7843" w:rsidRDefault="008C7843"/>
    <w:sectPr w:rsidR="008C7843"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C2246" w14:textId="77777777" w:rsidR="008C7843" w:rsidRDefault="008C7843">
      <w:pPr>
        <w:spacing w:after="0"/>
      </w:pPr>
      <w:r>
        <w:separator/>
      </w:r>
    </w:p>
  </w:endnote>
  <w:endnote w:type="continuationSeparator" w:id="0">
    <w:p w14:paraId="61E022DB" w14:textId="77777777" w:rsidR="008C7843" w:rsidRDefault="008C784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425B9B61"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64A7A9"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640DA3C6"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50C9CE"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73488" w14:textId="77777777" w:rsidR="008C7843" w:rsidRDefault="008C7843">
      <w:pPr>
        <w:spacing w:after="0"/>
      </w:pPr>
      <w:r>
        <w:separator/>
      </w:r>
    </w:p>
  </w:footnote>
  <w:footnote w:type="continuationSeparator" w:id="0">
    <w:p w14:paraId="5D256BC4" w14:textId="77777777" w:rsidR="008C7843" w:rsidRDefault="008C784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7CC8DCE4"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0CF24F8"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59B1" w14:textId="77777777" w:rsidR="00D100A8" w:rsidRDefault="00D100A8" w:rsidP="00F25F6C">
    <w:pPr>
      <w:pStyle w:val="Header"/>
      <w:framePr w:wrap="none" w:vAnchor="text" w:hAnchor="margin" w:xAlign="right" w:y="1"/>
      <w:rPr>
        <w:rStyle w:val="PageNumber"/>
      </w:rPr>
    </w:pPr>
  </w:p>
  <w:p w14:paraId="13879E5D"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8B8600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00E490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ADB239D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3"/>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5"/>
  </w:num>
  <w:num w:numId="13" w16cid:durableId="442194333">
    <w:abstractNumId w:val="14"/>
  </w:num>
  <w:num w:numId="14" w16cid:durableId="605622670">
    <w:abstractNumId w:val="10"/>
  </w:num>
  <w:num w:numId="15" w16cid:durableId="18706819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9416791">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C7843"/>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71035"/>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A6262"/>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410BC"/>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26</Pages>
  <Words>6238</Words>
  <Characters>35682</Characters>
  <Application>Microsoft Office Word</Application>
  <DocSecurity>0</DocSecurity>
  <Lines>524</Lines>
  <Paragraphs>154</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2</cp:revision>
  <dcterms:created xsi:type="dcterms:W3CDTF">2026-02-17T21:07:00Z</dcterms:created>
  <dcterms:modified xsi:type="dcterms:W3CDTF">2026-02-17T21:10:00Z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