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FA58" w14:textId="77777777" w:rsidR="00540016" w:rsidRDefault="00000000">
      <w:pPr>
        <w:pStyle w:val="Heading1"/>
      </w:pPr>
      <w:bookmarkStart w:id="0" w:name="abstract"/>
      <w:r>
        <w:t>Abstract</w:t>
      </w:r>
    </w:p>
    <w:p w14:paraId="04F2CB41" w14:textId="77777777" w:rsidR="00540016" w:rsidRDefault="00000000">
      <w:pPr>
        <w:pStyle w:val="FirstParagraph"/>
      </w:pPr>
      <w:r>
        <w:t>Life-history theory predicts a trade-off between offspring size and number, yet empirical studies often fail to detect the expected negative association. This discrepancy may occur because phenotypic correlations confuse variation in resource acquisition with variation in allocation strategy. Using repeated measures of female European earwigs (</w:t>
      </w:r>
      <w:r>
        <w:rPr>
          <w:i/>
          <w:iCs/>
        </w:rPr>
        <w:t>Forficula auricularia</w:t>
      </w:r>
      <w:r>
        <w:t>), I partitioned covariance between egg size and egg number into among- and within-female components using Bayesian mixed models. The raw phenotypic correlation was near zero. However, females that produced more eggs on average laid smaller eggs, revealing a modest negative association among females that aligns with an allocation trade-off. In contrast, there was no detectable within-female covariance once clutch order was accounted for. Egg number repeatability was effectively zero, suggesting that clutch size varies mainly within rather than among females, while egg size was highly repeatable. Both egg number and egg size decreased in second clutches, and within-clutch egg-size variance increased, indicating a reproductive constraint (i.e., fewer functional ovarioles) under a possibly diminished resource state. Together, these findings demonstrate that the size–number trade-off appears to be expressed among females through consistent differences in allocation strategy, whereas clutch size itself remains flexible. By separating hierarchical sources of variation, this study shows that allocation trade-offs can remain hidden at the phenotypic level and that evolutionary constraints act through stable allocation rules rather than through flexible clutch-size adjustments.</w:t>
      </w:r>
    </w:p>
    <w:p w14:paraId="716C2273" w14:textId="77777777" w:rsidR="00540016" w:rsidRDefault="00000000">
      <w:r>
        <w:br w:type="page"/>
      </w:r>
    </w:p>
    <w:p w14:paraId="5C728B90" w14:textId="77777777" w:rsidR="00540016" w:rsidRDefault="00000000">
      <w:pPr>
        <w:pStyle w:val="Heading1"/>
      </w:pPr>
      <w:bookmarkStart w:id="1" w:name="introduction"/>
      <w:bookmarkEnd w:id="0"/>
      <w:r>
        <w:lastRenderedPageBreak/>
        <w:t>Introduction</w:t>
      </w:r>
    </w:p>
    <w:p w14:paraId="316101D5" w14:textId="77777777" w:rsidR="00540016" w:rsidRDefault="00000000">
      <w:pPr>
        <w:pStyle w:val="FirstParagraph"/>
      </w:pPr>
      <w:r>
        <w:t xml:space="preserve">Life-history theory predicts that organisms must allocate finite resources among competing fitness components. Because energy and time are limited, investment in one trait constrains investment in others (Stearns, 1992; Roff, 1992). A central expression of this principle is the offspring size–number trade-off: for a given reproductive budget, producing larger offspring reduces the number that can be produced (Smith &amp; Fretwell, 1974; Parker, 1982). Since larger eggs often enhance offspring performance and survival (Clutton-Brock, 1991), selection is expected to favour an optimal balance between egg size and egg number that maximises maternal fitness (Fox &amp; Czesak, 2000). Yet empirical tests of the size–number trade-off often fail to reveal the expected negative relationship. Across individuals within populations, egg size and egg number are often positively correlated (Roff, 1992; Bernardo, 1996; Fox &amp; Czesak, 2000; Hargitai </w:t>
      </w:r>
      <w:r>
        <w:rPr>
          <w:i/>
          <w:iCs/>
        </w:rPr>
        <w:t>et al.</w:t>
      </w:r>
      <w:r>
        <w:t>, 2005).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71901F25" w14:textId="77777777" w:rsidR="00540016" w:rsidRDefault="00000000">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&amp; Wilson, </w:t>
      </w:r>
      <w:r>
        <w:lastRenderedPageBreak/>
        <w:t>2017). Importantly, standard univariate regressions of egg size on egg number estimate only the overall phenotypic association between traits and therefore cannot distinguish whether covariance arises from persistent differences among females in total resource acquisition or from within-female allocation adjustments across reproductive bouts. Because phenotypic covariance conflates these hierarchical sources of variation, inference about allocation trade-offs requires models that partition covariance across biological levels. Repeated measures of individuals allow estimation of (i) among-individual variance, reflecting consistent differences among females in total reproductive investment, and (ii) within-individual variance, reflecting how females adjust allocation across reproductive bouts. Multivariate mixed models provide a statistical framework for estimating these covariance components simultaneously while accounting for repeated measures and hierarchical structure. Careau and Wilson (2017) argue that only by decomposing covariance into among- and within-individual components can we determine whether allocation trade-offs operate within individuals despite weak or positive population-level associations.</w:t>
      </w:r>
    </w:p>
    <w:p w14:paraId="4107B551" w14:textId="77777777" w:rsidR="00540016" w:rsidRDefault="00000000">
      <w:pPr>
        <w:pStyle w:val="BodyText"/>
      </w:pPr>
      <w:r>
        <w:t xml:space="preserve">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The marked increase in within-clutch egg size variance in second broods further supports a resource constraint interpretation. Under reduced resource availability, females may be less able to maintain uniform provisioning across all eggs, leading to greater heterogeneity in egg size within a clutch. Such increased variance is consistent with </w:t>
      </w:r>
      <w:r>
        <w:lastRenderedPageBreak/>
        <w:t>diminished allocation precision when reproductive resources are limited, rather than an adaptive diversification of offspring size.</w:t>
      </w:r>
    </w:p>
    <w:p w14:paraId="5FC3CD66" w14:textId="77777777" w:rsidR="00540016" w:rsidRDefault="00000000">
      <w:pPr>
        <w:pStyle w:val="BodyText"/>
      </w:pPr>
      <w:r>
        <w:t xml:space="preserve">Despite the foundational importance of the size–number trade-off, empirical tests rarely partition covariance into within- and among-individual components to distinguish allocation from acquisition effects. Here, Here, I address this gap using the European earwig, </w:t>
      </w:r>
      <w:r>
        <w:rPr>
          <w:i/>
          <w:iCs/>
        </w:rPr>
        <w:t>Forficula auricularia</w:t>
      </w:r>
      <w:r>
        <w:t xml:space="preserve">, a species that allows repeated measures of reproductive investment within females but in which previous work has reported no clear or consistent pattern in the association between egg size and egg number (Koch &amp; Meunier, 2014), highlighting the difficulty of interpreting phenotypic correlations without partitioning hierarchical sources of variation. Female earwigs lay a clutch within a short temporal window in a subterranean burrow (Meunier, 2024) and provide extended maternal care (Staerkle &amp; Kölliker, 2008; Meunier, 2024). In Québec 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&amp; Jong, 1986; see also Reznick </w:t>
      </w:r>
      <w:r>
        <w:rPr>
          <w:i/>
          <w:iCs/>
        </w:rPr>
        <w:t>et al.</w:t>
      </w:r>
      <w:r>
        <w:t xml:space="preserve">,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&amp; Fretwell, 1974), then one trait should remain relatively invariant across clutches while the other adjusts between reproductive bouts (Winkler &amp; Wallin, 1987). Third, if reproductive investment is structured </w:t>
      </w:r>
      <w:r>
        <w:lastRenderedPageBreak/>
        <w:t xml:space="preserve">differently across bouts, then variance in egg size may differ between first and second clutches at both the among-female and within-clutch levels (e.g. Hargitai </w:t>
      </w:r>
      <w:r>
        <w:rPr>
          <w:i/>
          <w:iCs/>
        </w:rPr>
        <w:t>et al.</w:t>
      </w:r>
      <w:r>
        <w:t>, 2005), providing further insight into how selection shapes the distribution of maternal investment across reproductive events.</w:t>
      </w:r>
    </w:p>
    <w:p w14:paraId="75ABAE40" w14:textId="77777777" w:rsidR="00540016" w:rsidRDefault="00000000">
      <w:pPr>
        <w:pStyle w:val="BodyText"/>
      </w:pPr>
      <w:r>
        <w:t>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evaluates not only the existence of a trade-off but also the hierarchical structure through which life-history constraints are expressed.</w:t>
      </w:r>
    </w:p>
    <w:p w14:paraId="5648B22D" w14:textId="77777777" w:rsidR="00540016" w:rsidRDefault="00000000">
      <w:pPr>
        <w:pStyle w:val="Heading1"/>
      </w:pPr>
      <w:bookmarkStart w:id="2" w:name="methods"/>
      <w:bookmarkEnd w:id="1"/>
      <w:r>
        <w:t>Methods</w:t>
      </w:r>
    </w:p>
    <w:p w14:paraId="3DE85BF6" w14:textId="77777777" w:rsidR="00540016" w:rsidRDefault="00000000">
      <w:pPr>
        <w:pStyle w:val="FirstParagraph"/>
      </w:pPr>
      <w:r>
        <w:t>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Scientific, Iowa, USA) at 10°C in constant darkness.</w:t>
      </w:r>
    </w:p>
    <w:p w14:paraId="161CD0A0" w14:textId="77777777" w:rsidR="00540016" w:rsidRDefault="00000000">
      <w:pPr>
        <w:pStyle w:val="BodyText"/>
      </w:pPr>
      <w:r>
        <w:t xml:space="preserve">Females were checked daily for oviposition. When a female laid eggs, I recorded the date, collected all eggs from the sand, and placed them on filter paper in a new Petri dish. The eggs </w:t>
      </w:r>
      <w:r>
        <w:lastRenderedPageBreak/>
        <w:t>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6A7C3EF2" w14:textId="77777777" w:rsidR="00540016" w:rsidRDefault="00000000">
      <w:pPr>
        <w:pStyle w:val="BodyText"/>
      </w:pPr>
      <w:r>
        <w:t xml:space="preserve">To stimulate females to lay a second clutch of eggs, I recreated a brief spring period during which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straws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and the new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positive among-female covariance between egg number and size, I measured two proxies of size, pronotum length and body mass. Females were weighed to the nearest 0.01 mg using a Sartorius Secura 224-1S analytical balance. Females were weighed three times, with each weighing bout separated by four days. I used Fiji image analysis software (Schindelin </w:t>
      </w:r>
      <w:r>
        <w:rPr>
          <w:i/>
          <w:iCs/>
        </w:rPr>
        <w:t>et al.</w:t>
      </w:r>
      <w:r>
        <w:t xml:space="preserve">, 2012) to measure </w:t>
      </w:r>
      <w:r>
        <w:lastRenderedPageBreak/>
        <w:t>the length of the female pronotum to the nearest 0.001 mm three times, with each measurement separated by 4 days. I used the same procedure to measure the perimeter of each egg.</w:t>
      </w:r>
    </w:p>
    <w:p w14:paraId="3B87CC4A" w14:textId="77777777" w:rsidR="00540016" w:rsidRDefault="00000000">
      <w:pPr>
        <w:pStyle w:val="Heading3"/>
      </w:pPr>
      <w:bookmarkStart w:id="3" w:name="statistical-analysis"/>
      <w:r>
        <w:t>Statistical analysis</w:t>
      </w:r>
    </w:p>
    <w:p w14:paraId="63B50ED1" w14:textId="77777777" w:rsidR="00540016" w:rsidRDefault="00000000">
      <w:pPr>
        <w:pStyle w:val="FirstParagraph"/>
      </w:pPr>
      <w:r>
        <w:t xml:space="preserve">I calculated the repeatability of the body mass, pronotum length and egg perimeter measurements using the R package </w:t>
      </w:r>
      <w:r>
        <w:rPr>
          <w:i/>
          <w:iCs/>
        </w:rPr>
        <w:t>rptR</w:t>
      </w:r>
      <w:r>
        <w:t xml:space="preserve"> (Stoffel </w:t>
      </w:r>
      <w:r>
        <w:rPr>
          <w:i/>
          <w:iCs/>
        </w:rPr>
        <w:t>et al.</w:t>
      </w:r>
      <w:r>
        <w:t xml:space="preserve">, 2017). I entered the trait of interest as the response variable, female ID as a random effect, and assumed a Gaussian distribution. Each analysis was based on 1000 bootstrap samples. The measurements of my two 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clutch: </w:t>
      </w:r>
      <w:r>
        <w:rPr>
          <w:i/>
          <w:iCs/>
        </w:rPr>
        <w:t>R</w:t>
      </w:r>
      <w:r>
        <w:t xml:space="preserve"> [95% CI] = 0.977 [0.976, 0.979]; second clutch: </w:t>
      </w:r>
      <w:r>
        <w:rPr>
          <w:i/>
          <w:iCs/>
        </w:rPr>
        <w:t>R</w:t>
      </w:r>
      <w:r>
        <w:t xml:space="preserve"> [95% CI] = 0.93 [0.926, 0.937] ), I calculated each egg’s average perimeter and then used these values to calculate the mean egg size for each clutch for each female.</w:t>
      </w:r>
    </w:p>
    <w:p w14:paraId="34066342" w14:textId="77777777" w:rsidR="00540016" w:rsidRDefault="00000000">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w:t>
      </w:r>
      <w:r>
        <w:rPr>
          <w:i/>
          <w:iCs/>
        </w:rPr>
        <w:t>prcomp</w:t>
      </w:r>
      <w:r>
        <w:t xml:space="preserve"> function in the R stats package (R Core Team, 2025). The first principal component (PC1) explained 60.8% of the total variance and was used as an index of structural body size. In addition, female body condition was estimated using the scaled mass index (SMI) following Peig and Green (2009, 2010; see also Kelly </w:t>
      </w:r>
      <w:r>
        <w:rPr>
          <w:i/>
          <w:iCs/>
        </w:rPr>
        <w:t>et al.</w:t>
      </w:r>
      <w:r>
        <w:t>, 2014), which standardizes body mass relative to structural size (pronotum length).</w:t>
      </w:r>
    </w:p>
    <w:p w14:paraId="741AB410" w14:textId="77777777" w:rsidR="00540016" w:rsidRDefault="00000000">
      <w:pPr>
        <w:pStyle w:val="BodyText"/>
      </w:pPr>
      <w:r>
        <w:lastRenderedPageBreak/>
        <w:t>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variation among clutches within females, and residual effects. Consequently, raw phenotypic correlations provide a descriptive estimate of overall trait associations but do not distinguish between covariation arising from stable female differences and that arising from within-female (i.e., among-clutch) processes.</w:t>
      </w:r>
    </w:p>
    <w:p w14:paraId="3F7AC8E4" w14:textId="77777777" w:rsidR="00540016" w:rsidRDefault="00000000">
      <w:pPr>
        <w:pStyle w:val="BodyText"/>
      </w:pPr>
      <w:r>
        <w:t>Because the central aim of this study was to distinguish covariance arising from persistent differences among females from covariance arising within females across reproductive bouts, standard univariate regressions of egg size on egg number were insufficient. Such models estimate only the overall phenotypic association between traits and cannot partition covariance into among- and within-female components. I therefore used a hierarchical multivariate mixed-model framework that jointly modelled egg number and mean egg size while decomposing covariance across biological levels.</w:t>
      </w:r>
    </w:p>
    <w:p w14:paraId="6479AF10" w14:textId="77777777" w:rsidR="00540016" w:rsidRDefault="00000000">
      <w:pPr>
        <w:pStyle w:val="BodyText"/>
      </w:pPr>
      <w:r>
        <w:t xml:space="preserve">To distinguish covariance arising from within-female plasticity from covariance attributable to consistent among-female differences, I followed the within–between decomposition approach of van de Pol and Wright [(2009); see Supplementary Material for details]. Egg number was decomposed into two components: a between-female component, defined as each female’s mean egg number across clutches centered on the population mean, and a within-female component, defined as the deviation of each clutch from that female’s own mean. Hereafter, “among-female” variation refers to differences between individuals, whereas “within-female” variation refers to </w:t>
      </w:r>
      <w:r>
        <w:lastRenderedPageBreak/>
        <w:t xml:space="preserve">differences among clutches within individuals. This decomposition was necessary because residual covariance alone does not isolate within-individual effects and, in models with different response distributions, does not provide a directly interpretable estimate of within-female trade-offs. Although mean-centering imposes assumptions about underlying biological processes (Westneat </w:t>
      </w:r>
      <w:r>
        <w:rPr>
          <w:i/>
          <w:iCs/>
        </w:rPr>
        <w:t>et al.</w:t>
      </w:r>
      <w:r>
        <w:t>, 2020), these assumptions are appropriate here because the biological question concerns how reproductive allocation varies both within and among females.</w:t>
      </w:r>
    </w:p>
    <w:p w14:paraId="2B3DE9A8" w14:textId="77777777" w:rsidR="00540016" w:rsidRDefault="00000000">
      <w:pPr>
        <w:pStyle w:val="BodyText"/>
      </w:pPr>
      <w:r>
        <w:t>The within- and between-female components of egg number were included simultaneously in a Bayesian multivariate mixed-effects model in which egg number and mean egg size were modelled jointly. Egg number was modelled using a negative binomial distribution with a log link, whereas mean egg size was modelled assuming a Gaussian distribution with an identity link. Clutch (first vs. second clutch) was included as a fixed effect in both submodels, and female identity was included as a random intercept for both response variables. This framework partitions total phenotypic covariance into among-female and within-female components. The between-female effect estimates whether females that consistently produce more eggs also produce smaller eggs on average, whereas the within-female effect tests whether females plastically adjust egg size when producing more or fewer eggs relative to their own mean clutch size. Female-level random effects further estimate residual covariance between baseline trait values after accounting for these fixed effects.</w:t>
      </w:r>
    </w:p>
    <w:p w14:paraId="01399AA4" w14:textId="77777777" w:rsidR="00540016" w:rsidRDefault="00000000">
      <w:pPr>
        <w:pStyle w:val="BodyText"/>
      </w:pPr>
      <w:r>
        <w:t xml:space="preserve">To quantify the structure of egg-size variation specifically, I fitted a univariate mixed-effects model in which standardized mean egg perimeter was modelled as a Gaussian response with female identity included as a random intercept (see Supplementary Material for details). This model partitions total phenotypic variance in egg size into variance attributable to consistent </w:t>
      </w:r>
      <w:r>
        <w:lastRenderedPageBreak/>
        <w:t>differences among females and variance occurring within females among eggs within clutches. The among-female variance component reflects consistent maternal differences in egg-size allocation, whereas the within-female component captures heterogeneity in provisioning within clutches and residual variation.</w:t>
      </w:r>
    </w:p>
    <w:p w14:paraId="19EE396E" w14:textId="77777777" w:rsidR="00540016" w:rsidRDefault="00000000">
      <w:pPr>
        <w:pStyle w:val="BodyText"/>
      </w:pPr>
      <w:r>
        <w:t>Repeatability was calculated on the observation scale for both traits. For egg size (Gaussian model):</w:t>
      </w:r>
    </w:p>
    <w:p w14:paraId="631DFF1C" w14:textId="77777777" w:rsidR="00540016"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size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10D0CBD3" w14:textId="77777777" w:rsidR="00540016"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among-female variance (i.e., variance of the female random intercept)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residual variance. Because the Gaussian model is parameterized directly on the observation scale, this formulation corresponds to both latent- and observation-scale repeatability.</w:t>
      </w:r>
    </w:p>
    <w:p w14:paraId="35281613" w14:textId="77777777" w:rsidR="00540016" w:rsidRDefault="00000000">
      <w:pPr>
        <w:pStyle w:val="BodyText"/>
      </w:pPr>
      <w:r>
        <w:t xml:space="preserve">For egg number, which was modelled using a negative binomial distribution with a log link, the variance depends on both the expected mean and the dispersion (shape) parameter. Under the negative binomial parameterization used in </w:t>
      </w:r>
      <w:r>
        <w:rPr>
          <w:i/>
          <w:iCs/>
        </w:rPr>
        <w:t>brms</w:t>
      </w:r>
      <w:r>
        <w:t>, the observation-level (distribution-specific) variance is given by:</w:t>
      </w:r>
    </w:p>
    <w:p w14:paraId="5DE3A820" w14:textId="77777777" w:rsidR="00540016"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m:oMathPara>
    </w:p>
    <w:p w14:paraId="01B5A992" w14:textId="77777777" w:rsidR="00540016" w:rsidRDefault="00000000">
      <w:pPr>
        <w:pStyle w:val="FirstParagraph"/>
      </w:pPr>
      <w:r>
        <w:t xml:space="preserve">where </w:t>
      </w:r>
      <m:oMath>
        <m:r>
          <w:rPr>
            <w:rFonts w:ascii="Cambria Math" w:hAnsi="Cambria Math"/>
          </w:rPr>
          <m:t>μ</m:t>
        </m:r>
      </m:oMath>
      <w:r>
        <w:t xml:space="preserve"> is the expected mean egg number and </w:t>
      </w:r>
      <m:oMath>
        <m:r>
          <w:rPr>
            <w:rFonts w:ascii="Cambria Math" w:hAnsi="Cambria Math"/>
          </w:rPr>
          <m:t>θ</m:t>
        </m:r>
      </m:oMath>
      <w:r>
        <w:t xml:space="preserve"> is the dispersion (shape) parameter. Because the model includes a log link, the among-female variance estimated from the random intercept is expressed on the latent (log) scale and must be transformed to the observation scale before </w:t>
      </w:r>
      <w:r>
        <w:lastRenderedPageBreak/>
        <w:t>calculating repeatability. Following Nakagawa et al. (2017), the among-female variance on the observation scale was therefore calculated as:</w:t>
      </w:r>
    </w:p>
    <w:p w14:paraId="313706A1" w14:textId="77777777" w:rsidR="0054001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d>
            <m:dPr>
              <m:ctrlPr>
                <w:rPr>
                  <w:rFonts w:ascii="Cambria Math" w:hAnsi="Cambria Math"/>
                </w:rPr>
              </m:ctrlPr>
            </m:dPr>
            <m:e>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1</m:t>
              </m:r>
            </m:e>
          </m:d>
        </m:oMath>
      </m:oMathPara>
    </w:p>
    <w:p w14:paraId="270617FF" w14:textId="77777777" w:rsidR="00540016" w:rsidRDefault="00000000">
      <w:pPr>
        <w:pStyle w:val="FirstParagraph"/>
      </w:pPr>
      <w:r>
        <w:t xml:space="preserve">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random intercept on the latent scale.</w:t>
      </w:r>
    </w:p>
    <w:p w14:paraId="2FD36363" w14:textId="77777777" w:rsidR="00540016" w:rsidRDefault="00000000">
      <w:pPr>
        <w:pStyle w:val="BodyText"/>
      </w:pPr>
      <w:r>
        <w:t>Observation-scale repeatability for egg number was then calculated as:</w:t>
      </w:r>
    </w:p>
    <w:p w14:paraId="5B9886F5" w14:textId="77777777" w:rsidR="00540016"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number</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num>
            <m:den>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e>
              </m:d>
            </m:den>
          </m:f>
        </m:oMath>
      </m:oMathPara>
    </w:p>
    <w:p w14:paraId="057E557A" w14:textId="77777777" w:rsidR="00540016" w:rsidRDefault="00000000">
      <w:pPr>
        <w:pStyle w:val="FirstParagraph"/>
      </w:pPr>
      <w:r>
        <w:t xml:space="preserve">Both the transformed among-female variance and the distribution-specific variance were computed for each posterior draw using the corresponding posterior samples of </w:t>
      </w:r>
      <m:oMath>
        <m:r>
          <w:rPr>
            <w:rFonts w:ascii="Cambria Math" w:hAnsi="Cambria Math"/>
          </w:rPr>
          <m:t>μ</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w:t>
      </w:r>
      <m:oMath>
        <m:r>
          <w:rPr>
            <w:rFonts w:ascii="Cambria Math" w:hAnsi="Cambria Math"/>
          </w:rPr>
          <m:t>θ</m:t>
        </m:r>
      </m:oMath>
      <w:r>
        <w:t>. To account for variation in expected values across observations, these quantities were first calculated at the observation level and then averaged within each posterior draw. This procedure yielded a posterior distribution of repeatability that fully propagates uncertainty from all variance components.</w:t>
      </w:r>
    </w:p>
    <w:p w14:paraId="5AA1CF15" w14:textId="77777777" w:rsidR="00540016" w:rsidRDefault="00000000">
      <w:pPr>
        <w:pStyle w:val="BodyText"/>
      </w:pPr>
      <w:r>
        <w:t xml:space="preserve">Repeatability for non-Gaussian traits was calculated following the framework of Nakagawa and Schielzeth (2010) and its extensions for generalized linear mixed models (Nakagawa </w:t>
      </w:r>
      <w:r>
        <w:rPr>
          <w:i/>
          <w:iCs/>
        </w:rPr>
        <w:t>et al.</w:t>
      </w:r>
      <w:r>
        <w:t xml:space="preserve">, 2017). Because distribution-specific variance can contribute substantially to total phenotypic variance in negative binomial models, repeatability estimates for count data are often lower than those obtained under Gaussian assumptions, even when among-individual variance is present (Nakagawa &amp; Schielzeth, 2010; Nakagawa </w:t>
      </w:r>
      <w:r>
        <w:rPr>
          <w:i/>
          <w:iCs/>
        </w:rPr>
        <w:t>et al.</w:t>
      </w:r>
      <w:r>
        <w:t xml:space="preserve">, 2017). By calculating repeatability on the </w:t>
      </w:r>
      <w:r>
        <w:lastRenderedPageBreak/>
        <w:t>observation scale, these estimates represent the proportion of total phenotypic variance in observed egg number attributable to consistent differences among females.</w:t>
      </w:r>
    </w:p>
    <w:p w14:paraId="0C924774" w14:textId="77777777" w:rsidR="00540016" w:rsidRDefault="00000000">
      <w:pPr>
        <w:pStyle w:val="BodyText"/>
      </w:pPr>
      <w:r>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would be moderate in magnitude. Intercepts were given normal priors scaled to each trait (egg number: Normal(0, 5); mean egg size: Normal(3.5, 1); standardized egg size: Normal(0, 0.5)). Among-female variation was assigned exponential priors (Exponential(1–2)), which favour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each with 4,000 iterations, including 1,000 warm-up iterations, and convergence was assessed using </w:t>
      </w:r>
      <m:oMath>
        <m:acc>
          <m:accPr>
            <m:ctrlPr>
              <w:rPr>
                <w:rFonts w:ascii="Cambria Math" w:hAnsi="Cambria Math"/>
              </w:rPr>
            </m:ctrlPr>
          </m:accPr>
          <m:e>
            <m:r>
              <w:rPr>
                <w:rFonts w:ascii="Cambria Math" w:hAnsi="Cambria Math"/>
              </w:rPr>
              <m:t>R</m:t>
            </m:r>
          </m:e>
        </m:acc>
      </m:oMath>
      <w:r>
        <w:t xml:space="preserve"> statistics, effective sample sizes, and trace-plot inspection. Posterior distributions are summarised as posterior means with 95% credible intervals. Data were visualized using </w:t>
      </w:r>
      <w:r>
        <w:rPr>
          <w:i/>
          <w:iCs/>
        </w:rPr>
        <w:t>ggplot</w:t>
      </w:r>
      <w:r>
        <w:t xml:space="preserve"> (Wickham, 2016) and </w:t>
      </w:r>
      <w:r>
        <w:rPr>
          <w:i/>
          <w:iCs/>
        </w:rPr>
        <w:t>tidybayes</w:t>
      </w:r>
      <w:r>
        <w:t xml:space="preserve"> (Kay, 2020).</w:t>
      </w:r>
    </w:p>
    <w:p w14:paraId="62CBD30D" w14:textId="77777777" w:rsidR="00540016" w:rsidRDefault="00000000">
      <w:pPr>
        <w:pStyle w:val="Heading1"/>
      </w:pPr>
      <w:bookmarkStart w:id="4" w:name="results"/>
      <w:bookmarkEnd w:id="2"/>
      <w:bookmarkEnd w:id="3"/>
      <w:r>
        <w:t>Results</w:t>
      </w:r>
    </w:p>
    <w:p w14:paraId="406C967B" w14:textId="77777777" w:rsidR="00540016" w:rsidRDefault="00000000">
      <w:pPr>
        <w:pStyle w:val="Heading3"/>
      </w:pPr>
      <w:bookmarkStart w:id="5" w:name="between--and-within-female-associations"/>
      <w:r>
        <w:t>Between- and within-female associations</w:t>
      </w:r>
    </w:p>
    <w:p w14:paraId="20D5B0B9" w14:textId="77777777" w:rsidR="00540016" w:rsidRDefault="00000000">
      <w:pPr>
        <w:pStyle w:val="FirstParagraph"/>
      </w:pPr>
      <w:r>
        <w:t>Across all broods, the raw phenotypic correlation between egg number and egg size was weak and near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indicating no detectable population-level association when hierarchical structure was ignored.</w:t>
      </w:r>
    </w:p>
    <w:p w14:paraId="40E959FC" w14:textId="77777777" w:rsidR="00540016" w:rsidRDefault="00000000">
      <w:pPr>
        <w:pStyle w:val="BodyText"/>
      </w:pPr>
      <w:r>
        <w:lastRenderedPageBreak/>
        <w:t xml:space="preserve">Egg number (clutch one: </w:t>
      </w:r>
      <m:oMath>
        <m:acc>
          <m:accPr>
            <m:chr m:val="‾"/>
            <m:ctrlPr>
              <w:rPr>
                <w:rFonts w:ascii="Cambria Math" w:hAnsi="Cambria Math"/>
              </w:rPr>
            </m:ctrlPr>
          </m:accPr>
          <m:e>
            <m:r>
              <w:rPr>
                <w:rFonts w:ascii="Cambria Math" w:hAnsi="Cambria Math"/>
              </w:rPr>
              <m:t>x</m:t>
            </m:r>
          </m:e>
        </m:acc>
      </m:oMath>
      <w:r>
        <w:t xml:space="preserve"> = 51.55 ± 2.49 eggs; clutch two: </w:t>
      </w:r>
      <m:oMath>
        <m:acc>
          <m:accPr>
            <m:chr m:val="‾"/>
            <m:ctrlPr>
              <w:rPr>
                <w:rFonts w:ascii="Cambria Math" w:hAnsi="Cambria Math"/>
              </w:rPr>
            </m:ctrlPr>
          </m:accPr>
          <m:e>
            <m:r>
              <w:rPr>
                <w:rFonts w:ascii="Cambria Math" w:hAnsi="Cambria Math"/>
              </w:rPr>
              <m:t>x</m:t>
            </m:r>
          </m:e>
        </m:acc>
      </m:oMath>
      <w:r>
        <w:t xml:space="preserve"> = 34.14 ± 2.65 eggs) and egg size (first clutch: </w:t>
      </w:r>
      <m:oMath>
        <m:acc>
          <m:accPr>
            <m:chr m:val="‾"/>
            <m:ctrlPr>
              <w:rPr>
                <w:rFonts w:ascii="Cambria Math" w:hAnsi="Cambria Math"/>
              </w:rPr>
            </m:ctrlPr>
          </m:accPr>
          <m:e>
            <m:r>
              <w:rPr>
                <w:rFonts w:ascii="Cambria Math" w:hAnsi="Cambria Math"/>
              </w:rPr>
              <m:t>x</m:t>
            </m:r>
          </m:e>
        </m:acc>
      </m:oMath>
      <w:r>
        <w:t xml:space="preserve"> = 3.54 ± 0.03 mm; second clutch: </w:t>
      </w:r>
      <m:oMath>
        <m:acc>
          <m:accPr>
            <m:chr m:val="‾"/>
            <m:ctrlPr>
              <w:rPr>
                <w:rFonts w:ascii="Cambria Math" w:hAnsi="Cambria Math"/>
              </w:rPr>
            </m:ctrlPr>
          </m:accPr>
          <m:e>
            <m:r>
              <w:rPr>
                <w:rFonts w:ascii="Cambria Math" w:hAnsi="Cambria Math"/>
              </w:rPr>
              <m:t>x</m:t>
            </m:r>
          </m:e>
        </m:acc>
      </m:oMath>
      <w:r>
        <w:t xml:space="preserve"> ± SE = 3.41 ± 0.03 mm) both declined in second clutches. Egg number decreased on the log scale (</w:t>
      </w:r>
      <m:oMath>
        <m:r>
          <w:rPr>
            <w:rFonts w:ascii="Cambria Math" w:hAnsi="Cambria Math"/>
          </w:rPr>
          <m:t>β</m:t>
        </m:r>
      </m:oMath>
      <w:r>
        <w:t xml:space="preserve"> = -0.41, 95% CrI (-0.64, -0.19; </w:t>
      </w:r>
      <w:hyperlink w:anchor="fig-one">
        <w:r>
          <w:rPr>
            <w:rStyle w:val="Hyperlink"/>
          </w:rPr>
          <w:t>Figure 1</w:t>
        </w:r>
      </w:hyperlink>
      <w:r>
        <w:t>; Supplementary Table 1),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0.413</m:t>
            </m:r>
          </m:sup>
        </m:sSup>
        <m:r>
          <m:rPr>
            <m:sty m:val="p"/>
          </m:rPr>
          <w:rPr>
            <w:rFonts w:ascii="Cambria Math" w:hAnsi="Cambria Math"/>
          </w:rPr>
          <m:t>≈</m:t>
        </m:r>
        <m:r>
          <w:rPr>
            <w:rFonts w:ascii="Cambria Math" w:hAnsi="Cambria Math"/>
          </w:rPr>
          <m:t>0.66</m:t>
        </m:r>
      </m:oMath>
      <w:r>
        <w:t>). Mean egg size also declined in the second clutch (</w:t>
      </w:r>
      <m:oMath>
        <m:r>
          <w:rPr>
            <w:rFonts w:ascii="Cambria Math" w:hAnsi="Cambria Math"/>
          </w:rPr>
          <m:t>β</m:t>
        </m:r>
      </m:oMath>
      <w:r>
        <w:t xml:space="preserve"> = -0.13, 95% CrI (-0.24, -0.02)).</w:t>
      </w:r>
    </w:p>
    <w:p w14:paraId="532DFBE7" w14:textId="77777777" w:rsidR="00540016" w:rsidRDefault="00000000">
      <w:pPr>
        <w:pStyle w:val="BodyText"/>
      </w:pPr>
      <w:r>
        <w:t>The results did not support my prediction of a within-female plastic trade-off between egg number and egg size (</w:t>
      </w:r>
      <w:hyperlink w:anchor="fig-one">
        <w:r>
          <w:rPr>
            <w:rStyle w:val="Hyperlink"/>
          </w:rPr>
          <w:t>Figure 1</w:t>
        </w:r>
      </w:hyperlink>
      <w:r>
        <w:t xml:space="preserve"> a). The within-female deviation in egg number had a slope near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indicating that females did not systematically adjust egg size when producing more or fewer eggs relative to their own mean. By comparison, the among-female association (captured by the fixed between-female slope) revealed a negative relationship between egg size and mean female egg number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hyperlink w:anchor="fig-one">
        <w:r>
          <w:rPr>
            <w:rStyle w:val="Hyperlink"/>
          </w:rPr>
          <w:t>Figure 1</w:t>
        </w:r>
      </w:hyperlink>
      <w:r>
        <w:t xml:space="preserve"> b). The posterior distribution of the among-female slope was centered on negative values, suggesting weak evidence for divergence in mean allocation strategy among 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14:paraId="2625A137" w14:textId="77777777" w:rsidR="00540016" w:rsidRDefault="00000000">
      <w:pPr>
        <w:pStyle w:val="BodyText"/>
      </w:pPr>
      <w:r>
        <w:t xml:space="preserve">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w:t>
      </w:r>
      <w:r>
        <w:lastRenderedPageBreak/>
        <w:t>0.35, 0.33]) providing no evidence that larger females or those in better condition produce more eggs. I therefore did not include a measure of size/condition in this model. Together, these results show that the size–number trade-off is not apparent at the raw phenotypic level and is not expressed as within-female plasticity, but emerges as a modest negative association at the among-female level through differences in average allocation strategy.</w:t>
      </w:r>
    </w:p>
    <w:p w14:paraId="0CA67BB9" w14:textId="77777777" w:rsidR="00540016" w:rsidRDefault="00000000">
      <w:pPr>
        <w:pStyle w:val="Heading3"/>
      </w:pPr>
      <w:bookmarkStart w:id="6" w:name="Xa0713afe1a0937a4c359af3d72eeaa97e62c984"/>
      <w:bookmarkEnd w:id="5"/>
      <w:r>
        <w:t>Egg size variation between females and within clutches</w:t>
      </w:r>
    </w:p>
    <w:p w14:paraId="69E51948" w14:textId="77777777" w:rsidR="00540016" w:rsidRDefault="00000000">
      <w:pPr>
        <w:pStyle w:val="FirstParagraph"/>
      </w:pPr>
      <w:r>
        <w:t>Egg size exhibited substantial variation at both the between-female and within-clutch levels (</w:t>
      </w:r>
      <w:hyperlink w:anchor="fig-two">
        <w:r>
          <w:rPr>
            <w:rStyle w:val="Hyperlink"/>
          </w:rPr>
          <w:t>Figure 2</w:t>
        </w:r>
      </w:hyperlink>
      <w:r>
        <w:t>;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p w14:paraId="1507DE63" w14:textId="77777777" w:rsidR="00540016" w:rsidRDefault="00000000">
      <w:pPr>
        <w:pStyle w:val="Heading3"/>
      </w:pPr>
      <w:bookmarkStart w:id="7" w:name="egg-number-and-egg-size-repeatability"/>
      <w:bookmarkEnd w:id="6"/>
      <w:r>
        <w:t>Egg number and egg size repeatability</w:t>
      </w:r>
    </w:p>
    <w:p w14:paraId="69EB3FC6" w14:textId="77777777" w:rsidR="00540016" w:rsidRDefault="00000000">
      <w:pPr>
        <w:pStyle w:val="FirstParagraph"/>
      </w:pPr>
      <w:r>
        <w:t>Repeatability was calculated from posterior samples of the variance components on the observation scale.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w:rPr>
            <w:rFonts w:ascii="Cambria Math" w:hAnsi="Cambria Math"/>
          </w:rPr>
          <m:t>R</m:t>
        </m:r>
        <m:r>
          <m:rPr>
            <m:sty m:val="p"/>
          </m:rPr>
          <w:rPr>
            <w:rFonts w:ascii="Cambria Math" w:hAnsi="Cambria Math"/>
          </w:rPr>
          <m:t>=</m:t>
        </m:r>
        <m:r>
          <w:rPr>
            <w:rFonts w:ascii="Cambria Math" w:hAnsi="Cambria Math"/>
          </w:rPr>
          <w:lastRenderedPageBreak/>
          <m:t>4.86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CrI</m:t>
        </m:r>
        <m:d>
          <m:dPr>
            <m:begChr m:val="["/>
            <m:endChr m:val="]"/>
            <m:ctrlPr>
              <w:rPr>
                <w:rFonts w:ascii="Cambria Math" w:hAnsi="Cambria Math"/>
              </w:rPr>
            </m:ctrlPr>
          </m:dPr>
          <m:e>
            <m:r>
              <w:rPr>
                <w:rFonts w:ascii="Cambria Math" w:hAnsi="Cambria Math"/>
              </w:rPr>
              <m:t>3.80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2.43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e>
        </m:d>
      </m:oMath>
      <w:r>
        <w:t>), indicating that very little of the total phenotypic variation in clutch size was attributable to consistent differences among females.</w:t>
      </w:r>
    </w:p>
    <w:p w14:paraId="00FA7789" w14:textId="77777777" w:rsidR="00540016" w:rsidRDefault="00000000">
      <w:pPr>
        <w:pStyle w:val="BodyText"/>
      </w:pPr>
      <w:r>
        <w:t xml:space="preserve">Because variance components and repeatability were derived from different models, these quantities are reported separately. Among-female variance in egg size from the multivariate model was modest in absolute terms (SD = 0.082, 95% CrI [0.006, 0.155]; residual SD = 0.191, 95% CrI [0.155, 0.235]; Supplementary Table 1), providing a sense of the trait’s physical scale (mm). Repeatability, however, was estimated from the clutch-specific univariate model (Supplementary Table 2), in which among-female variance exceeded residual variance (SD = 0.855 vs 0.457 in first broods; 0.784 vs 0.594 in second broods), yielding </w:t>
      </w:r>
      <w:r>
        <w:rPr>
          <w:i/>
          <w:iCs/>
        </w:rPr>
        <w:t>R</w:t>
      </w:r>
      <w:r>
        <w:t xml:space="preserve"> = 0.78 (95% CrI: 0.70, 0.84) in first broods and </w:t>
      </w:r>
      <w:r>
        <w:rPr>
          <w:i/>
          <w:iCs/>
        </w:rPr>
        <w:t>R</w:t>
      </w:r>
      <w:r>
        <w:t xml:space="preserve"> = 0.63 (95% CrI: 0.53, 0.73) in second broods.</w:t>
      </w:r>
    </w:p>
    <w:p w14:paraId="23C865C3" w14:textId="77777777" w:rsidR="00540016" w:rsidRDefault="00000000">
      <w:pPr>
        <w:pStyle w:val="Heading1"/>
      </w:pPr>
      <w:bookmarkStart w:id="8" w:name="discussion"/>
      <w:bookmarkEnd w:id="4"/>
      <w:bookmarkEnd w:id="7"/>
      <w:r>
        <w:t>Discussion</w:t>
      </w:r>
    </w:p>
    <w:p w14:paraId="59F4BD03" w14:textId="77777777" w:rsidR="00540016" w:rsidRDefault="00000000">
      <w:pPr>
        <w:pStyle w:val="FirstParagraph"/>
      </w:pPr>
      <w:r>
        <w:t xml:space="preserve">Life-history theory predicts a trade-off between offspring size and number because both traits draw from a finite pool of reproductive resources (Lack, 1947; Smith &amp; Fretwell, 1974; Roff, 1992; Stearns, 1992). Yet, as emphasised by van Noordwijk and de Jong (1992), phenotypic correlations need not directly reveal allocation trade-offs, because variation in resource acquisition can obscure underlying allocation rules (Careau &amp; Wilson, 2017; Johnson &amp; Nassrullah, 2024). This acquisition–allocation framework has become central to interpreting life-history covariance (Houle, 1991; Reznick </w:t>
      </w:r>
      <w:r>
        <w:rPr>
          <w:i/>
          <w:iCs/>
        </w:rPr>
        <w:t>et al.</w:t>
      </w:r>
      <w:r>
        <w:t xml:space="preserve">, 2000). By partitioning covariance into within- and among-female components, my results show that the size–number trade-off in this population of earwigs is modestly expressed among females but absent within them, illustrating how </w:t>
      </w:r>
      <w:r>
        <w:lastRenderedPageBreak/>
        <w:t xml:space="preserve">hierarchical structure shapes the detectability of life-history trade-offs (Pol &amp; Wright, 2009; Dingemanse &amp; Dochtermann, 2013; Careau &amp; Wilson, 2017; Westneat </w:t>
      </w:r>
      <w:r>
        <w:rPr>
          <w:i/>
          <w:iCs/>
        </w:rPr>
        <w:t>et al.</w:t>
      </w:r>
      <w:r>
        <w:t>, 2020).</w:t>
      </w:r>
    </w:p>
    <w:p w14:paraId="1D03F2E6" w14:textId="77777777" w:rsidR="00540016" w:rsidRDefault="00000000">
      <w:pPr>
        <w:pStyle w:val="BodyText"/>
      </w:pPr>
      <w:r>
        <w:t>At the phenotypic level, egg size and egg number were uncorrelated in my earwig population, consistent with Koch and Meunier (2014). Under the framework of van Noordwijk and de Jong (1986), such phenotypic independence is expected when variation in resource acquisition obscures underlying allocation trade-offs. After hierarchical decomposition, however, a weak negative association emerged at the among-female level: females that produced more eggs on average tended to lay slightly smaller eggs. This pattern is captured by the fixed between-female slope and reflects differences among females in their mean allocation strategy. In contrast, the correlation between female-level intercepts—representing residual (latent) covariance after accounting for this allocation relationship—was highly uncertain and overlapped zero, indicating little evidence for additional integration between traits beyond that explained by differences in mean allocation strategy (Stearns, 1989; Roff &amp; Fairbairn, 2007).</w:t>
      </w:r>
    </w:p>
    <w:p w14:paraId="3B8A1269" w14:textId="77777777" w:rsidR="00540016" w:rsidRDefault="00000000">
      <w:pPr>
        <w:pStyle w:val="BodyText"/>
      </w:pPr>
      <w:r>
        <w:t>In contrast, there was no evidence for a within-female plastic trade-off. Although each female contributed only two broods, the posterior distribution of the within-female slope was tightly centered on zero, suggesting that any within-female effect, if present, is small.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 (McNamara &amp; Houston, 1996; Houston &amp; McNamara, 1999). Rather than dynamically reallocating resources between offspring size and number, females appear to exhibit clutch-level shifts driven by overall energetic state.</w:t>
      </w:r>
    </w:p>
    <w:p w14:paraId="3AF10A1B" w14:textId="77777777" w:rsidR="00540016" w:rsidRDefault="00000000">
      <w:pPr>
        <w:pStyle w:val="BodyText"/>
      </w:pPr>
      <w:r>
        <w:lastRenderedPageBreak/>
        <w:t>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to show repeatability and to covary with these morphological size/condition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14:paraId="4C1D7DFB" w14:textId="77777777" w:rsidR="00540016" w:rsidRDefault="00000000">
      <w:pPr>
        <w:pStyle w:val="BodyText"/>
      </w:pPr>
      <w:r>
        <w:t>This interpretation also helps explain the pronounced decline in second clutches. That second clutches comprised both fewer and smaller eggs is consistent with previous work in North American and European populations (Tourneur &amp; Gingras, 1992; Koch &amp; Meunier, 2014). Tourneur and Gingras (1992) proposed that some ovarioles become non-functional after the first clutch, thereby reducing egg production capacity. Structural limitation could therefore contribute to smaller second clutches. However, structural reduction alone cannot explain the simultaneous decline in egg size. Under a strict allocation trade-off, a reduction in egg number would be expected to lead to compensatory increases in egg size if total resources remain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14:paraId="2276EDA9" w14:textId="77777777" w:rsidR="00540016" w:rsidRDefault="00000000">
      <w:pPr>
        <w:pStyle w:val="BodyText"/>
      </w:pPr>
      <w:r>
        <w:lastRenderedPageBreak/>
        <w:t>The hierarchical variance structure supports a constraint-based interpretation of clutch-size variation. Egg size exhibited moderate repeatability across broods, indicating stable differences among females in mean per-offspring investment. In contrast, egg number showed extremely low repeatability, with most of the variance arising from brood effects and distribution-level variation rather than from 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 (McNamara &amp; Houston, 1996; Houston &amp; McNamara, 1999). At the same time, within-clutch variance increased substantially in second broods, indicating reduced developmental precision under diminished resource availability. Structural and energetic constraints, therefore, appear to reduce total reproductive output while leaving mean allocation rules largely intact (Zera &amp; Harshman, 2001; Ricklefs &amp; Wikelski, 2002).</w:t>
      </w:r>
    </w:p>
    <w:p w14:paraId="47884050" w14:textId="77777777" w:rsidR="00540016" w:rsidRDefault="00000000">
      <w:pPr>
        <w:pStyle w:val="BodyText"/>
      </w:pPr>
      <w:r>
        <w:t xml:space="preserve">These patterns have broader implications for phenotypic integration and evolutionary potential. Repeatability places an upper bound on heritability (Lessells &amp; Boag, 1987; Falconer &amp; MacKay, 1996; Nakagawa &amp; Schielzeth, 2010; Nakagawa &amp; Schielzeth, 2013; but see Dohm, 2002).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w:t>
      </w:r>
      <w:r>
        <w:lastRenderedPageBreak/>
        <w:t>resource state versus allocation strategy (Houle, 1991). In this system, per-offspring investment appears more evolutionarily stable than the total number of offspring.</w:t>
      </w:r>
    </w:p>
    <w:p w14:paraId="511827AF" w14:textId="77777777" w:rsidR="00540016" w:rsidRDefault="00000000">
      <w:pPr>
        <w:pStyle w:val="BodyText"/>
      </w:pPr>
      <w:r>
        <w:t>Viewed hierarchically, my results illustrate a broader conceptual point: life-history trade-offs may operate primarily through stable differences in allocation rules among individuals, while short-term variation reflects state-dependent constraint. Without decomposing within- and among-individual covariance, the modest among-female trade-off suggested here would have remained obscured. More generally, the evolutionary consequences of trade-offs depend not only on their sign but on their hierarchical expression and repeatability. A trade-off that reflects consistent among-individual differences in a repeatable trait is more likely to shape evolutionary responses than one arising primarily from transient, plastic variation within individuals. Future work measuring resource acquisition directly, experimentally manipulating body condition, or estimating genetic correlations between egg size and egg number will help determine whether the allocation divergence observed here reflects adaptive differentiation in allocation strategy or condition-dependent constraint (Lande, 1980; Roff, 1992).</w:t>
      </w:r>
    </w:p>
    <w:p w14:paraId="38B815CD" w14:textId="77777777" w:rsidR="00540016" w:rsidRDefault="00000000">
      <w:bookmarkStart w:id="9" w:name="acknowledgements"/>
      <w:bookmarkEnd w:id="8"/>
      <w:r>
        <w:br w:type="page"/>
      </w:r>
    </w:p>
    <w:p w14:paraId="09292316" w14:textId="77777777" w:rsidR="00540016" w:rsidRDefault="00000000">
      <w:pPr>
        <w:pStyle w:val="Heading1"/>
      </w:pPr>
      <w:bookmarkStart w:id="10" w:name="references"/>
      <w:bookmarkEnd w:id="9"/>
      <w:r>
        <w:lastRenderedPageBreak/>
        <w:t>References</w:t>
      </w:r>
    </w:p>
    <w:p w14:paraId="0A33A5C3" w14:textId="77777777" w:rsidR="00540016" w:rsidRDefault="00000000">
      <w:pPr>
        <w:pStyle w:val="Bibliography"/>
      </w:pPr>
      <w:bookmarkStart w:id="11" w:name="ref-bernardo1996"/>
      <w:bookmarkStart w:id="12" w:name="refs"/>
      <w:r>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7A6AE81A" w14:textId="77777777" w:rsidR="00540016" w:rsidRDefault="00000000">
      <w:pPr>
        <w:pStyle w:val="Bibliography"/>
      </w:pPr>
      <w:bookmarkStart w:id="13" w:name="ref-careau2017"/>
      <w:bookmarkEnd w:id="11"/>
      <w:r>
        <w:t xml:space="preserve">Careau, V. &amp; Wilson, R. 2017. Of uberfleas and krakens: Detecting trade-offs using mixed models. </w:t>
      </w:r>
      <w:r>
        <w:rPr>
          <w:i/>
          <w:iCs/>
        </w:rPr>
        <w:t>Integr Comp Biol</w:t>
      </w:r>
      <w:r>
        <w:t xml:space="preserve"> </w:t>
      </w:r>
      <w:r>
        <w:rPr>
          <w:b/>
          <w:bCs/>
        </w:rPr>
        <w:t>57</w:t>
      </w:r>
      <w:r>
        <w:t>: 362–371.</w:t>
      </w:r>
    </w:p>
    <w:p w14:paraId="72572B79" w14:textId="77777777" w:rsidR="00540016" w:rsidRDefault="00000000">
      <w:pPr>
        <w:pStyle w:val="Bibliography"/>
      </w:pPr>
      <w:bookmarkStart w:id="14" w:name="ref-clutton-brock1991"/>
      <w:bookmarkEnd w:id="13"/>
      <w:r>
        <w:t xml:space="preserve">Clutton-Brock, T.H. 1991. </w:t>
      </w:r>
      <w:r>
        <w:rPr>
          <w:i/>
          <w:iCs/>
        </w:rPr>
        <w:t>The Evolution of Parental Care</w:t>
      </w:r>
      <w:r>
        <w:t>. Princeton University Press.</w:t>
      </w:r>
    </w:p>
    <w:p w14:paraId="152BAEBB" w14:textId="77777777" w:rsidR="00540016" w:rsidRDefault="00000000">
      <w:pPr>
        <w:pStyle w:val="Bibliography"/>
      </w:pPr>
      <w:bookmarkStart w:id="15" w:name="ref-dejong1992"/>
      <w:bookmarkEnd w:id="14"/>
      <w:r>
        <w:t xml:space="preserve">De Jong, G. &amp; Van Noordwijk, A. 1992. Acquisition and allocation of resources: Genetic (co) variances, selection, and life histories. </w:t>
      </w:r>
      <w:r>
        <w:rPr>
          <w:i/>
          <w:iCs/>
        </w:rPr>
        <w:t>Am Nat</w:t>
      </w:r>
      <w:r>
        <w:t xml:space="preserve"> </w:t>
      </w:r>
      <w:r>
        <w:rPr>
          <w:b/>
          <w:bCs/>
        </w:rPr>
        <w:t>139</w:t>
      </w:r>
      <w:r>
        <w:t>: 749–770.</w:t>
      </w:r>
    </w:p>
    <w:p w14:paraId="47DAF375" w14:textId="77777777" w:rsidR="00540016" w:rsidRDefault="00000000">
      <w:pPr>
        <w:pStyle w:val="Bibliography"/>
      </w:pPr>
      <w:bookmarkStart w:id="16" w:name="ref-dingemanse2013"/>
      <w:bookmarkEnd w:id="15"/>
      <w:r>
        <w:t xml:space="preserve">Dingemanse, N.J. &amp; Dochtermann, N. 2013. Quantifying individual variation in behaviour: Mixed-effect modelling approaches. </w:t>
      </w:r>
      <w:r>
        <w:rPr>
          <w:i/>
          <w:iCs/>
        </w:rPr>
        <w:t>J Anim Ecol</w:t>
      </w:r>
      <w:r>
        <w:t xml:space="preserve"> </w:t>
      </w:r>
      <w:r>
        <w:rPr>
          <w:b/>
          <w:bCs/>
        </w:rPr>
        <w:t>82</w:t>
      </w:r>
      <w:r>
        <w:t>: 39–54. Evolutionary Ecology of Variation Group, Max Planck Institute for Ornithology, Eberhard-Gwinner-Straße, 82319 Seewiesen (Starnberg), Germany. ndingemanse@orn.mpg.de.</w:t>
      </w:r>
    </w:p>
    <w:p w14:paraId="35BA99D5" w14:textId="77777777" w:rsidR="00540016" w:rsidRDefault="00000000">
      <w:pPr>
        <w:pStyle w:val="Bibliography"/>
      </w:pPr>
      <w:bookmarkStart w:id="17" w:name="ref-dohm2002"/>
      <w:bookmarkEnd w:id="16"/>
      <w:r>
        <w:t xml:space="preserve">Dohm, M.R. 2002. Repeatability estimates do not always set an upper limit to heritability. </w:t>
      </w:r>
      <w:r>
        <w:rPr>
          <w:i/>
          <w:iCs/>
        </w:rPr>
        <w:t>Funct Ecol</w:t>
      </w:r>
      <w:r>
        <w:t xml:space="preserve"> </w:t>
      </w:r>
      <w:r>
        <w:rPr>
          <w:b/>
          <w:bCs/>
        </w:rPr>
        <w:t>16</w:t>
      </w:r>
      <w:r>
        <w:t>: 273–280.</w:t>
      </w:r>
    </w:p>
    <w:p w14:paraId="52AC6169" w14:textId="77777777" w:rsidR="00540016" w:rsidRDefault="00000000">
      <w:pPr>
        <w:pStyle w:val="Bibliography"/>
      </w:pPr>
      <w:bookmarkStart w:id="18" w:name="ref-falconer1996"/>
      <w:bookmarkEnd w:id="17"/>
      <w:r>
        <w:t xml:space="preserve">Falconer, D.S. &amp; MacKay, T.F.C. 1996. </w:t>
      </w:r>
      <w:r>
        <w:rPr>
          <w:i/>
          <w:iCs/>
        </w:rPr>
        <w:t>An Introduction Quantitative Genetics</w:t>
      </w:r>
      <w:r>
        <w:t>. Pearson Education Limited, Essex, England.</w:t>
      </w:r>
    </w:p>
    <w:p w14:paraId="3A21DB9A" w14:textId="77777777" w:rsidR="00540016" w:rsidRDefault="00000000">
      <w:pPr>
        <w:pStyle w:val="Bibliography"/>
      </w:pPr>
      <w:bookmarkStart w:id="19" w:name="ref-fox2000"/>
      <w:bookmarkEnd w:id="18"/>
      <w:r>
        <w:t xml:space="preserve">Fox, C.W. &amp; Czesak, M.E. 2000. Evolutionary ecology of progeny size in arthropods. </w:t>
      </w:r>
      <w:r>
        <w:rPr>
          <w:i/>
          <w:iCs/>
        </w:rPr>
        <w:t>Annu Rev Entomol</w:t>
      </w:r>
      <w:r>
        <w:t xml:space="preserve"> </w:t>
      </w:r>
      <w:r>
        <w:rPr>
          <w:b/>
          <w:bCs/>
        </w:rPr>
        <w:t>45</w:t>
      </w:r>
      <w:r>
        <w:t>: 341–369.</w:t>
      </w:r>
    </w:p>
    <w:p w14:paraId="3FF27059" w14:textId="77777777" w:rsidR="00540016" w:rsidRDefault="00000000">
      <w:pPr>
        <w:pStyle w:val="Bibliography"/>
      </w:pPr>
      <w:bookmarkStart w:id="20" w:name="ref-hargitai2005"/>
      <w:bookmarkEnd w:id="19"/>
      <w:r>
        <w:t xml:space="preserve">Hargitai, R., Török, J., Tóth, L., Hegyi, G., Rosivall, B., Szigeti, B., </w:t>
      </w:r>
      <w:r>
        <w:rPr>
          <w:i/>
          <w:iCs/>
        </w:rPr>
        <w:t>et al.</w:t>
      </w:r>
      <w:r>
        <w:t xml:space="preserve"> 2005. Effects of environmental conditions and parental quality on inter-and intraclutch egg-size variation in the collared flycatcher (</w:t>
      </w:r>
      <w:r>
        <w:rPr>
          <w:i/>
          <w:iCs/>
        </w:rPr>
        <w:t>Ficedula albicollis</w:t>
      </w:r>
      <w:r>
        <w:t xml:space="preserve">). </w:t>
      </w:r>
      <w:r>
        <w:rPr>
          <w:i/>
          <w:iCs/>
        </w:rPr>
        <w:t>Auk</w:t>
      </w:r>
      <w:r>
        <w:t xml:space="preserve"> </w:t>
      </w:r>
      <w:r>
        <w:rPr>
          <w:b/>
          <w:bCs/>
        </w:rPr>
        <w:t>122</w:t>
      </w:r>
      <w:r>
        <w:t>: 509–522.</w:t>
      </w:r>
    </w:p>
    <w:p w14:paraId="52CCD229" w14:textId="77777777" w:rsidR="00540016" w:rsidRDefault="00000000">
      <w:pPr>
        <w:pStyle w:val="Bibliography"/>
      </w:pPr>
      <w:bookmarkStart w:id="21" w:name="ref-honek1993"/>
      <w:bookmarkEnd w:id="20"/>
      <w:r>
        <w:t xml:space="preserve">Honek, A. 1993. Intraspecific variation in body size and fecundity in insects: A general relationship. </w:t>
      </w:r>
      <w:r>
        <w:rPr>
          <w:i/>
          <w:iCs/>
        </w:rPr>
        <w:t>Oikos</w:t>
      </w:r>
      <w:r>
        <w:t xml:space="preserve"> 483–492.</w:t>
      </w:r>
    </w:p>
    <w:p w14:paraId="16A741D8" w14:textId="77777777" w:rsidR="00540016" w:rsidRDefault="00000000">
      <w:pPr>
        <w:pStyle w:val="Bibliography"/>
      </w:pPr>
      <w:bookmarkStart w:id="22" w:name="ref-houle1991"/>
      <w:bookmarkEnd w:id="21"/>
      <w:r>
        <w:t xml:space="preserve">Houle, D. 1991. Genetic covariance of fitness correlates: What genetic correlations are made of and why it matters. </w:t>
      </w:r>
      <w:r>
        <w:rPr>
          <w:i/>
          <w:iCs/>
        </w:rPr>
        <w:t>Evolution</w:t>
      </w:r>
      <w:r>
        <w:t xml:space="preserve"> </w:t>
      </w:r>
      <w:r>
        <w:rPr>
          <w:b/>
          <w:bCs/>
        </w:rPr>
        <w:t>45</w:t>
      </w:r>
      <w:r>
        <w:t>: 630–648.</w:t>
      </w:r>
    </w:p>
    <w:p w14:paraId="2995B1DE" w14:textId="77777777" w:rsidR="00540016" w:rsidRDefault="00000000">
      <w:pPr>
        <w:pStyle w:val="Bibliography"/>
      </w:pPr>
      <w:bookmarkStart w:id="23" w:name="ref-houston1999"/>
      <w:bookmarkEnd w:id="22"/>
      <w:r>
        <w:t xml:space="preserve">Houston, A.I. &amp; McNamara, J.M. 1999. </w:t>
      </w:r>
      <w:r>
        <w:rPr>
          <w:i/>
          <w:iCs/>
        </w:rPr>
        <w:t>Models of adaptive behaviour: An approach based on state</w:t>
      </w:r>
      <w:r>
        <w:t>. Cambridge University Press.</w:t>
      </w:r>
    </w:p>
    <w:p w14:paraId="6ED5668A" w14:textId="77777777" w:rsidR="00540016" w:rsidRDefault="00000000">
      <w:pPr>
        <w:pStyle w:val="Bibliography"/>
      </w:pPr>
      <w:bookmarkStart w:id="24" w:name="ref-johnson2024"/>
      <w:bookmarkEnd w:id="23"/>
      <w:r>
        <w:t xml:space="preserve">Johnson, M.T.J. &amp; Nassrullah, Z. 2024. The improbability of detecting trade-offs and some practical solutions. </w:t>
      </w:r>
      <w:r>
        <w:rPr>
          <w:i/>
          <w:iCs/>
        </w:rPr>
        <w:t>J Evol Biol</w:t>
      </w:r>
      <w:r>
        <w:t xml:space="preserve"> </w:t>
      </w:r>
      <w:r>
        <w:rPr>
          <w:b/>
          <w:bCs/>
        </w:rPr>
        <w:t>37</w:t>
      </w:r>
      <w:r>
        <w:t>: 1205–1214. Department of Biology, University of Toronto Mississauga, Mississauga, Ontario, Canada.</w:t>
      </w:r>
    </w:p>
    <w:p w14:paraId="0BCBB49F" w14:textId="77777777" w:rsidR="00540016" w:rsidRDefault="00000000">
      <w:pPr>
        <w:pStyle w:val="Bibliography"/>
      </w:pPr>
      <w:bookmarkStart w:id="25" w:name="ref-kay2020"/>
      <w:bookmarkEnd w:id="24"/>
      <w:r>
        <w:t xml:space="preserve">Kay, M. 2020. </w:t>
      </w:r>
      <w:hyperlink r:id="rId7">
        <w:r>
          <w:rPr>
            <w:rStyle w:val="Hyperlink"/>
          </w:rPr>
          <w:t>tidybayes: Tidy Data and Geoms for Bayesian Models</w:t>
        </w:r>
      </w:hyperlink>
      <w:r>
        <w:t>.</w:t>
      </w:r>
    </w:p>
    <w:p w14:paraId="20DCEE3D" w14:textId="77777777" w:rsidR="00540016" w:rsidRDefault="00000000">
      <w:pPr>
        <w:pStyle w:val="Bibliography"/>
      </w:pPr>
      <w:bookmarkStart w:id="26" w:name="ref-kelly2014"/>
      <w:bookmarkEnd w:id="25"/>
      <w:r>
        <w:t xml:space="preserve">Kelly, C.D., Tawes, B. &amp; Worthington, A. 2014. Evaluating indices of body condition in two cricket species. </w:t>
      </w:r>
      <w:r>
        <w:rPr>
          <w:i/>
          <w:iCs/>
        </w:rPr>
        <w:t>Ecol Evol</w:t>
      </w:r>
      <w:r>
        <w:t xml:space="preserve"> </w:t>
      </w:r>
      <w:r>
        <w:rPr>
          <w:b/>
          <w:bCs/>
        </w:rPr>
        <w:t>4</w:t>
      </w:r>
      <w:r>
        <w:t>: 4476–4487.</w:t>
      </w:r>
    </w:p>
    <w:p w14:paraId="56AC4FA8" w14:textId="77777777" w:rsidR="00540016" w:rsidRDefault="00000000">
      <w:pPr>
        <w:pStyle w:val="Bibliography"/>
      </w:pPr>
      <w:bookmarkStart w:id="27" w:name="ref-koch2014"/>
      <w:bookmarkEnd w:id="26"/>
      <w:r>
        <w:lastRenderedPageBreak/>
        <w:t xml:space="preserve">Koch, L.K. &amp; Meunier, J. 2014. Mother and offspring fitness in an insect with maternal care: Phenotypic trade-offs between egg number, egg mass and egg care. </w:t>
      </w:r>
      <w:r>
        <w:rPr>
          <w:i/>
          <w:iCs/>
        </w:rPr>
        <w:t>BMC Evol Biol</w:t>
      </w:r>
      <w:r>
        <w:t xml:space="preserve"> </w:t>
      </w:r>
      <w:r>
        <w:rPr>
          <w:b/>
          <w:bCs/>
        </w:rPr>
        <w:t>14</w:t>
      </w:r>
      <w:r>
        <w:t>: 125.</w:t>
      </w:r>
    </w:p>
    <w:p w14:paraId="2B78D465" w14:textId="77777777" w:rsidR="00540016" w:rsidRDefault="00000000">
      <w:pPr>
        <w:pStyle w:val="Bibliography"/>
      </w:pPr>
      <w:bookmarkStart w:id="28" w:name="ref-lack1947"/>
      <w:bookmarkEnd w:id="27"/>
      <w:r>
        <w:t>Lack, D. 1947. The significance of clutch-size in the partridge (</w:t>
      </w:r>
      <w:r>
        <w:rPr>
          <w:i/>
          <w:iCs/>
        </w:rPr>
        <w:t>Perdix perdix</w:t>
      </w:r>
      <w:r>
        <w:t xml:space="preserve">). </w:t>
      </w:r>
      <w:r>
        <w:rPr>
          <w:i/>
          <w:iCs/>
        </w:rPr>
        <w:t>J Anim Ecol</w:t>
      </w:r>
      <w:r>
        <w:t xml:space="preserve"> </w:t>
      </w:r>
      <w:r>
        <w:rPr>
          <w:b/>
          <w:bCs/>
        </w:rPr>
        <w:t>16</w:t>
      </w:r>
      <w:r>
        <w:t>: 19–25.</w:t>
      </w:r>
    </w:p>
    <w:p w14:paraId="557903E7" w14:textId="77777777" w:rsidR="00540016" w:rsidRDefault="00000000">
      <w:pPr>
        <w:pStyle w:val="Bibliography"/>
      </w:pPr>
      <w:bookmarkStart w:id="29" w:name="ref-lande1980a"/>
      <w:bookmarkEnd w:id="28"/>
      <w:r>
        <w:t xml:space="preserve">Lande, R. 1980. The genetic covariance between characters maintained by pleiotropic mutations. </w:t>
      </w:r>
      <w:r>
        <w:rPr>
          <w:i/>
          <w:iCs/>
        </w:rPr>
        <w:t>Genetics</w:t>
      </w:r>
      <w:r>
        <w:t xml:space="preserve"> </w:t>
      </w:r>
      <w:r>
        <w:rPr>
          <w:b/>
          <w:bCs/>
        </w:rPr>
        <w:t>94</w:t>
      </w:r>
      <w:r>
        <w:t>: 203–215.</w:t>
      </w:r>
    </w:p>
    <w:p w14:paraId="1E978D43" w14:textId="77777777" w:rsidR="00540016" w:rsidRDefault="00000000">
      <w:pPr>
        <w:pStyle w:val="Bibliography"/>
      </w:pPr>
      <w:bookmarkStart w:id="30" w:name="ref-lessells1987"/>
      <w:bookmarkEnd w:id="29"/>
      <w:r>
        <w:t xml:space="preserve">Lessells, C. &amp; Boag, P.T. 1987. Unrepeatable repeatabilities: A common mistake. </w:t>
      </w:r>
      <w:r>
        <w:rPr>
          <w:i/>
          <w:iCs/>
        </w:rPr>
        <w:t>Auk</w:t>
      </w:r>
      <w:r>
        <w:t xml:space="preserve"> </w:t>
      </w:r>
      <w:r>
        <w:rPr>
          <w:b/>
          <w:bCs/>
        </w:rPr>
        <w:t>104</w:t>
      </w:r>
      <w:r>
        <w:t>: 116–121.</w:t>
      </w:r>
    </w:p>
    <w:p w14:paraId="3712FCBC" w14:textId="77777777" w:rsidR="00540016" w:rsidRDefault="00000000">
      <w:pPr>
        <w:pStyle w:val="Bibliography"/>
      </w:pPr>
      <w:bookmarkStart w:id="31" w:name="ref-mcnamara1996"/>
      <w:bookmarkEnd w:id="30"/>
      <w:r>
        <w:t xml:space="preserve">McNamara, J.M. &amp; Houston, A.I. 1996. State-dependent life histories. </w:t>
      </w:r>
      <w:r>
        <w:rPr>
          <w:i/>
          <w:iCs/>
        </w:rPr>
        <w:t>Nature</w:t>
      </w:r>
      <w:r>
        <w:t xml:space="preserve"> </w:t>
      </w:r>
      <w:r>
        <w:rPr>
          <w:b/>
          <w:bCs/>
        </w:rPr>
        <w:t>380</w:t>
      </w:r>
      <w:r>
        <w:t>: 215–221.</w:t>
      </w:r>
    </w:p>
    <w:p w14:paraId="6E769761" w14:textId="77777777" w:rsidR="00540016" w:rsidRDefault="00000000">
      <w:pPr>
        <w:pStyle w:val="Bibliography"/>
      </w:pPr>
      <w:bookmarkStart w:id="32" w:name="ref-meunier2024"/>
      <w:bookmarkEnd w:id="31"/>
      <w:r>
        <w:t xml:space="preserve">Meunier, J. 2024. The biology and social life of earwigs (Dermaptera). </w:t>
      </w:r>
      <w:r>
        <w:rPr>
          <w:i/>
          <w:iCs/>
        </w:rPr>
        <w:t>Annu Rev Entomol</w:t>
      </w:r>
      <w:r>
        <w:t xml:space="preserve"> </w:t>
      </w:r>
      <w:r>
        <w:rPr>
          <w:b/>
          <w:bCs/>
        </w:rPr>
        <w:t>69</w:t>
      </w:r>
      <w:r>
        <w:t>: 259–276.</w:t>
      </w:r>
    </w:p>
    <w:p w14:paraId="569A5155" w14:textId="77777777" w:rsidR="00540016" w:rsidRDefault="00000000">
      <w:pPr>
        <w:pStyle w:val="Bibliography"/>
      </w:pPr>
      <w:bookmarkStart w:id="33" w:name="ref-nakagawa2017"/>
      <w:bookmarkEnd w:id="32"/>
      <w:r>
        <w:t>Nakagawa, S., Johnson, P.C.D. &amp; Schielzeth, H. 2017. The coefficient of determination r</w:t>
      </w:r>
      <w:r>
        <w:rPr>
          <w:vertAlign w:val="superscript"/>
        </w:rPr>
        <w:t>2</w:t>
      </w:r>
      <w:r>
        <w:t xml:space="preserve"> and intra-class correlation coefficient from generalized linear mixed-effects models revisited and expanded. </w:t>
      </w:r>
      <w:r>
        <w:rPr>
          <w:i/>
          <w:iCs/>
        </w:rPr>
        <w:t>J R Soc Interface</w:t>
      </w:r>
      <w:r>
        <w:t xml:space="preserve"> </w:t>
      </w:r>
      <w:r>
        <w:rPr>
          <w:b/>
          <w:bCs/>
        </w:rPr>
        <w:t>14</w:t>
      </w:r>
      <w:r>
        <w:t>: 20170213. Evolution; Ecology Research Centre,; School of Biological, Earth; Environmental Sciences, University of New South Wales, Sydney, New South Wales 2052, Australia s.nakagawa@unsw.edu.au. Diabetes; Metabolism Division, Garvan Institute of Medical Research, Sydney, New South Wales 2010, Australia. Institute of Biodiversity, Animal Health; Comparative Medicine, University of Glasgow, Graham Kerr Building, Glasgow G12 8QQ, UK. Population Ecology Group, Institute of Ecology, Friedrich Schiller University Jena, Dornburger Strasse 159, 07743 Jena, Germany holger.schielzeth@uni-jena.de.</w:t>
      </w:r>
    </w:p>
    <w:p w14:paraId="792F15B3" w14:textId="77777777" w:rsidR="00540016" w:rsidRDefault="00000000">
      <w:pPr>
        <w:pStyle w:val="Bibliography"/>
      </w:pPr>
      <w:bookmarkStart w:id="34" w:name="ref-nakagawa2013"/>
      <w:bookmarkEnd w:id="33"/>
      <w:r>
        <w:t xml:space="preserve">Nakagawa, S. &amp; Schielzeth, H. 2013. A general and simple method for obtaining R2 from generalized linear mixed‐effects models. </w:t>
      </w:r>
      <w:r>
        <w:rPr>
          <w:i/>
          <w:iCs/>
        </w:rPr>
        <w:t>Methods Ecol Evol</w:t>
      </w:r>
      <w:r>
        <w:t xml:space="preserve"> </w:t>
      </w:r>
      <w:r>
        <w:rPr>
          <w:b/>
          <w:bCs/>
        </w:rPr>
        <w:t>4</w:t>
      </w:r>
      <w:r>
        <w:t>: 133–142.</w:t>
      </w:r>
    </w:p>
    <w:p w14:paraId="1E605C7B" w14:textId="77777777" w:rsidR="00540016" w:rsidRDefault="00000000">
      <w:pPr>
        <w:pStyle w:val="Bibliography"/>
      </w:pPr>
      <w:bookmarkStart w:id="35" w:name="ref-nakagawa2010"/>
      <w:bookmarkEnd w:id="34"/>
      <w:r>
        <w:t xml:space="preserve">Nakagawa, S. &amp; Schielzeth, H. 2010. Repeatability for Gaussian and non-Gaussian data: A practical guide for biologists. </w:t>
      </w:r>
      <w:r>
        <w:rPr>
          <w:i/>
          <w:iCs/>
        </w:rPr>
        <w:t>Biol Rev Camb Philos Soc</w:t>
      </w:r>
      <w:r>
        <w:t xml:space="preserve"> </w:t>
      </w:r>
      <w:r>
        <w:rPr>
          <w:b/>
          <w:bCs/>
        </w:rPr>
        <w:t>85</w:t>
      </w:r>
      <w:r>
        <w:t>: 935–956. Department of Zoology, University of Otago, 340 Great King Street, Dunedin, 9054, New Zealand. shinichi.nakagawa@otago.ac.nz.</w:t>
      </w:r>
    </w:p>
    <w:p w14:paraId="71C89619" w14:textId="77777777" w:rsidR="00540016" w:rsidRDefault="00000000">
      <w:pPr>
        <w:pStyle w:val="Bibliography"/>
      </w:pPr>
      <w:bookmarkStart w:id="36" w:name="ref-parker1982"/>
      <w:bookmarkEnd w:id="35"/>
      <w:r>
        <w:t xml:space="preserve">Parker, G.A. 1982. Why are there so many tiny sperm? Sperm competition and the maintenance of two sexes. </w:t>
      </w:r>
      <w:r>
        <w:rPr>
          <w:i/>
          <w:iCs/>
        </w:rPr>
        <w:t>J Theor Biol</w:t>
      </w:r>
      <w:r>
        <w:t xml:space="preserve"> </w:t>
      </w:r>
      <w:r>
        <w:rPr>
          <w:b/>
          <w:bCs/>
        </w:rPr>
        <w:t>96</w:t>
      </w:r>
      <w:r>
        <w:t>: 281–294.</w:t>
      </w:r>
    </w:p>
    <w:p w14:paraId="37333EDC" w14:textId="77777777" w:rsidR="00540016" w:rsidRDefault="00000000">
      <w:pPr>
        <w:pStyle w:val="Bibliography"/>
      </w:pPr>
      <w:bookmarkStart w:id="37" w:name="ref-peig2009"/>
      <w:bookmarkEnd w:id="36"/>
      <w:r>
        <w:t xml:space="preserve">Peig, J. &amp; Green, A.J. 2009. New perspectives for estimating body condition from mass/length data: The scaled mass index as an alternative method. </w:t>
      </w:r>
      <w:r>
        <w:rPr>
          <w:i/>
          <w:iCs/>
        </w:rPr>
        <w:t>Oikos</w:t>
      </w:r>
      <w:r>
        <w:t xml:space="preserve"> </w:t>
      </w:r>
      <w:r>
        <w:rPr>
          <w:b/>
          <w:bCs/>
        </w:rPr>
        <w:t>118</w:t>
      </w:r>
      <w:r>
        <w:t>: 1883–1891.</w:t>
      </w:r>
    </w:p>
    <w:p w14:paraId="43FF487A" w14:textId="77777777" w:rsidR="00540016" w:rsidRDefault="00000000">
      <w:pPr>
        <w:pStyle w:val="Bibliography"/>
      </w:pPr>
      <w:bookmarkStart w:id="38" w:name="ref-peig2010"/>
      <w:bookmarkEnd w:id="37"/>
      <w:r>
        <w:t xml:space="preserve">Peig, J. &amp; Green, A.J. 2010. The paradigm of body condition: A critical reappraisal of current methods based on mass and length. </w:t>
      </w:r>
      <w:r>
        <w:rPr>
          <w:i/>
          <w:iCs/>
        </w:rPr>
        <w:t>Funct Ecol</w:t>
      </w:r>
      <w:r>
        <w:t xml:space="preserve"> </w:t>
      </w:r>
      <w:r>
        <w:rPr>
          <w:b/>
          <w:bCs/>
        </w:rPr>
        <w:t>24</w:t>
      </w:r>
      <w:r>
        <w:t>: 1323–1332.</w:t>
      </w:r>
    </w:p>
    <w:p w14:paraId="338C3FE5" w14:textId="77777777" w:rsidR="00540016" w:rsidRDefault="00000000">
      <w:pPr>
        <w:pStyle w:val="Bibliography"/>
      </w:pPr>
      <w:bookmarkStart w:id="39" w:name="ref-vandepol2009"/>
      <w:bookmarkEnd w:id="38"/>
      <w:r>
        <w:t xml:space="preserve">Pol, M. van de &amp; Wright, J. 2009. A simple method for distinguishing within- versus between-subject effects using mixed models. </w:t>
      </w:r>
      <w:r>
        <w:rPr>
          <w:i/>
          <w:iCs/>
        </w:rPr>
        <w:t>Anim Behav</w:t>
      </w:r>
      <w:r>
        <w:t xml:space="preserve"> </w:t>
      </w:r>
      <w:r>
        <w:rPr>
          <w:b/>
          <w:bCs/>
        </w:rPr>
        <w:t>77</w:t>
      </w:r>
      <w:r>
        <w:t>: 753–758.</w:t>
      </w:r>
    </w:p>
    <w:p w14:paraId="267C0A49" w14:textId="77777777" w:rsidR="00540016" w:rsidRDefault="00000000">
      <w:pPr>
        <w:pStyle w:val="Bibliography"/>
      </w:pPr>
      <w:bookmarkStart w:id="40" w:name="ref-r2013"/>
      <w:bookmarkEnd w:id="39"/>
      <w:r>
        <w:lastRenderedPageBreak/>
        <w:t>R Core Team. 2025. R: A language and environment for statistical computing. Vienna, Austria.</w:t>
      </w:r>
    </w:p>
    <w:p w14:paraId="7FA3610A" w14:textId="77777777" w:rsidR="00540016" w:rsidRDefault="00000000">
      <w:pPr>
        <w:pStyle w:val="Bibliography"/>
      </w:pPr>
      <w:bookmarkStart w:id="41" w:name="ref-reznick2000"/>
      <w:bookmarkEnd w:id="40"/>
      <w:r>
        <w:t xml:space="preserve">Reznick, D., Nunney, L. &amp; Tessier, A. 2000. Big houses, big cars, superfleas and the costs of reproduction. </w:t>
      </w:r>
      <w:r>
        <w:rPr>
          <w:i/>
          <w:iCs/>
        </w:rPr>
        <w:t>Trends Ecol Evol</w:t>
      </w:r>
      <w:r>
        <w:t xml:space="preserve"> </w:t>
      </w:r>
      <w:r>
        <w:rPr>
          <w:b/>
          <w:bCs/>
        </w:rPr>
        <w:t>15</w:t>
      </w:r>
      <w:r>
        <w:t>: 421–425.</w:t>
      </w:r>
    </w:p>
    <w:p w14:paraId="39CECA9F" w14:textId="77777777" w:rsidR="00540016" w:rsidRDefault="00000000">
      <w:pPr>
        <w:pStyle w:val="Bibliography"/>
      </w:pPr>
      <w:bookmarkStart w:id="42" w:name="ref-ricklefs2002"/>
      <w:bookmarkEnd w:id="41"/>
      <w:r>
        <w:t xml:space="preserve">Ricklefs, R.E. &amp; Wikelski, M. 2002. The physiology/life-history nexus. </w:t>
      </w:r>
      <w:r>
        <w:rPr>
          <w:i/>
          <w:iCs/>
        </w:rPr>
        <w:t>Trends Ecol Evol</w:t>
      </w:r>
      <w:r>
        <w:t xml:space="preserve"> </w:t>
      </w:r>
      <w:r>
        <w:rPr>
          <w:b/>
          <w:bCs/>
        </w:rPr>
        <w:t>17</w:t>
      </w:r>
      <w:r>
        <w:t>: 462–468.</w:t>
      </w:r>
    </w:p>
    <w:p w14:paraId="4D4017B1" w14:textId="77777777" w:rsidR="00540016" w:rsidRDefault="00000000">
      <w:pPr>
        <w:pStyle w:val="Bibliography"/>
      </w:pPr>
      <w:bookmarkStart w:id="43" w:name="ref-roff1992a"/>
      <w:bookmarkEnd w:id="42"/>
      <w:r>
        <w:t xml:space="preserve">Roff, D. 1992. </w:t>
      </w:r>
      <w:r>
        <w:rPr>
          <w:i/>
          <w:iCs/>
        </w:rPr>
        <w:t>Evolution of Life Histories: Theory and Analysis</w:t>
      </w:r>
      <w:r>
        <w:t>. Chapman &amp; Hall, Inc., New York, NY.</w:t>
      </w:r>
    </w:p>
    <w:p w14:paraId="2ED9CAA7" w14:textId="77777777" w:rsidR="00540016" w:rsidRDefault="00000000">
      <w:pPr>
        <w:pStyle w:val="Bibliography"/>
      </w:pPr>
      <w:bookmarkStart w:id="44" w:name="ref-roff2007a"/>
      <w:bookmarkEnd w:id="43"/>
      <w:r>
        <w:t xml:space="preserve">Roff, D.A. &amp; Fairbairn, D.J. 2007. The evolution of trade-offs: Where are we? </w:t>
      </w:r>
      <w:r>
        <w:rPr>
          <w:i/>
          <w:iCs/>
        </w:rPr>
        <w:t>J Evol Biol</w:t>
      </w:r>
      <w:r>
        <w:t xml:space="preserve"> </w:t>
      </w:r>
      <w:r>
        <w:rPr>
          <w:b/>
          <w:bCs/>
        </w:rPr>
        <w:t>20</w:t>
      </w:r>
      <w:r>
        <w:t>: 433–447. Department of Biology, University of California, Riverside, CA 92507, USA. derek.roff@ucr.edu.</w:t>
      </w:r>
    </w:p>
    <w:p w14:paraId="74402AFA" w14:textId="77777777" w:rsidR="00540016" w:rsidRDefault="00000000">
      <w:pPr>
        <w:pStyle w:val="Bibliography"/>
      </w:pPr>
      <w:bookmarkStart w:id="45" w:name="ref-schindelin2012"/>
      <w:bookmarkEnd w:id="44"/>
      <w:r>
        <w:t xml:space="preserve">Schindelin, J., Arganda-Carreras, I., Frise, E., Kaynig, V., Longair, M., Pietzsch, T., </w:t>
      </w:r>
      <w:r>
        <w:rPr>
          <w:i/>
          <w:iCs/>
        </w:rPr>
        <w:t>et al.</w:t>
      </w:r>
      <w:r>
        <w:t xml:space="preserve"> 2012. Fiji: An open-source platform for biological-image analysis. </w:t>
      </w:r>
      <w:r>
        <w:rPr>
          <w:i/>
          <w:iCs/>
        </w:rPr>
        <w:t>Nat Method</w:t>
      </w:r>
      <w:r>
        <w:t xml:space="preserve"> </w:t>
      </w:r>
      <w:r>
        <w:rPr>
          <w:b/>
          <w:bCs/>
        </w:rPr>
        <w:t>9</w:t>
      </w:r>
      <w:r>
        <w:t>: 676–682. Max Planck Institute of Molecular Cell Biology; Genetics, Dresden, Germany.</w:t>
      </w:r>
    </w:p>
    <w:p w14:paraId="5CBDAF81" w14:textId="77777777" w:rsidR="00540016" w:rsidRDefault="00000000">
      <w:pPr>
        <w:pStyle w:val="Bibliography"/>
      </w:pPr>
      <w:bookmarkStart w:id="46" w:name="ref-simpson1951"/>
      <w:bookmarkEnd w:id="45"/>
      <w:r>
        <w:t xml:space="preserve">Simpson, E.H. 1951. The interpretation of interaction in contingency tables. </w:t>
      </w:r>
      <w:r>
        <w:rPr>
          <w:i/>
          <w:iCs/>
        </w:rPr>
        <w:t>J. R. Stat. Soc. Ser. B Stat. Methodol.</w:t>
      </w:r>
      <w:r>
        <w:t xml:space="preserve"> </w:t>
      </w:r>
      <w:r>
        <w:rPr>
          <w:b/>
          <w:bCs/>
        </w:rPr>
        <w:t>13</w:t>
      </w:r>
      <w:r>
        <w:t>: 238–241.</w:t>
      </w:r>
    </w:p>
    <w:p w14:paraId="7402DD46" w14:textId="77777777" w:rsidR="00540016" w:rsidRDefault="00000000">
      <w:pPr>
        <w:pStyle w:val="Bibliography"/>
      </w:pPr>
      <w:bookmarkStart w:id="47" w:name="ref-smith1974"/>
      <w:bookmarkEnd w:id="46"/>
      <w:r>
        <w:t xml:space="preserve">Smith, C.C. &amp; Fretwell, S.D. 1974. The optimal balance between size and number of offspring. </w:t>
      </w:r>
      <w:r>
        <w:rPr>
          <w:i/>
          <w:iCs/>
        </w:rPr>
        <w:t>Am Nat</w:t>
      </w:r>
      <w:r>
        <w:t xml:space="preserve"> </w:t>
      </w:r>
      <w:r>
        <w:rPr>
          <w:b/>
          <w:bCs/>
        </w:rPr>
        <w:t>108</w:t>
      </w:r>
      <w:r>
        <w:t>: 499–506.</w:t>
      </w:r>
    </w:p>
    <w:p w14:paraId="2CEFB879" w14:textId="77777777" w:rsidR="00540016" w:rsidRDefault="00000000">
      <w:pPr>
        <w:pStyle w:val="Bibliography"/>
      </w:pPr>
      <w:bookmarkStart w:id="48" w:name="ref-staerkle2008"/>
      <w:bookmarkEnd w:id="47"/>
      <w:r>
        <w:t>Staerkle, M. &amp; Kölliker, M. 2008. Maternal food regurgitation to nymphs in earwigs (</w:t>
      </w:r>
      <w:r>
        <w:rPr>
          <w:i/>
          <w:iCs/>
        </w:rPr>
        <w:t>Forficula auricularia</w:t>
      </w:r>
      <w:r>
        <w:t xml:space="preserve">). </w:t>
      </w:r>
      <w:r>
        <w:rPr>
          <w:i/>
          <w:iCs/>
        </w:rPr>
        <w:t>Ethology</w:t>
      </w:r>
      <w:r>
        <w:t xml:space="preserve"> </w:t>
      </w:r>
      <w:r>
        <w:rPr>
          <w:b/>
          <w:bCs/>
        </w:rPr>
        <w:t>114</w:t>
      </w:r>
      <w:r>
        <w:t>: 844–850.</w:t>
      </w:r>
    </w:p>
    <w:p w14:paraId="0384BEF8" w14:textId="77777777" w:rsidR="00540016" w:rsidRDefault="00000000">
      <w:pPr>
        <w:pStyle w:val="Bibliography"/>
      </w:pPr>
      <w:bookmarkStart w:id="49" w:name="ref-stearns1992"/>
      <w:bookmarkEnd w:id="48"/>
      <w:r>
        <w:t xml:space="preserve">Stearns, S.C. 1992. </w:t>
      </w:r>
      <w:r>
        <w:rPr>
          <w:i/>
          <w:iCs/>
        </w:rPr>
        <w:t>The Evolution of Life Histories</w:t>
      </w:r>
      <w:r>
        <w:t>. Oxford University Press.</w:t>
      </w:r>
    </w:p>
    <w:p w14:paraId="169EEEBD" w14:textId="77777777" w:rsidR="00540016" w:rsidRDefault="00000000">
      <w:pPr>
        <w:pStyle w:val="Bibliography"/>
      </w:pPr>
      <w:bookmarkStart w:id="50" w:name="ref-stearns1989"/>
      <w:bookmarkEnd w:id="49"/>
      <w:r>
        <w:t xml:space="preserve">Stearns, S.C. 1989. Trade-offs in life-history evolution. </w:t>
      </w:r>
      <w:r>
        <w:rPr>
          <w:i/>
          <w:iCs/>
        </w:rPr>
        <w:t>Funct Ecol</w:t>
      </w:r>
      <w:r>
        <w:t xml:space="preserve"> </w:t>
      </w:r>
      <w:r>
        <w:rPr>
          <w:b/>
          <w:bCs/>
        </w:rPr>
        <w:t>3</w:t>
      </w:r>
      <w:r>
        <w:t>: 259–268.</w:t>
      </w:r>
    </w:p>
    <w:p w14:paraId="6A397670" w14:textId="77777777" w:rsidR="00540016" w:rsidRDefault="00000000">
      <w:pPr>
        <w:pStyle w:val="Bibliography"/>
      </w:pPr>
      <w:bookmarkStart w:id="51" w:name="ref-stoffel2017"/>
      <w:bookmarkEnd w:id="50"/>
      <w:r>
        <w:t xml:space="preserve">Stoffel, M.A., Nakagawa, S. &amp; Schielzeth, H. 2017. RptR: Repeatability estimation and variance decomposition by generalized linear mixed‐effects models. </w:t>
      </w:r>
      <w:r>
        <w:rPr>
          <w:i/>
          <w:iCs/>
        </w:rPr>
        <w:t>Methods Ecol Evol</w:t>
      </w:r>
      <w:r>
        <w:t xml:space="preserve"> </w:t>
      </w:r>
      <w:r>
        <w:rPr>
          <w:b/>
          <w:bCs/>
        </w:rPr>
        <w:t>8</w:t>
      </w:r>
      <w:r>
        <w:t>: 1639–1644.</w:t>
      </w:r>
    </w:p>
    <w:p w14:paraId="3981A637" w14:textId="77777777" w:rsidR="00540016" w:rsidRDefault="00000000">
      <w:pPr>
        <w:pStyle w:val="Bibliography"/>
      </w:pPr>
      <w:bookmarkStart w:id="52" w:name="ref-tourneur2018"/>
      <w:bookmarkEnd w:id="51"/>
      <w:r>
        <w:t xml:space="preserve">Tourneur, J.-C. 2018. Factors affecting the egg-laying pattern of </w:t>
      </w:r>
      <w:r>
        <w:rPr>
          <w:i/>
          <w:iCs/>
        </w:rPr>
        <w:t>Forficula auricularia</w:t>
      </w:r>
      <w:r>
        <w:t xml:space="preserve"> (Dermaptera: Forficulidae) in three climatologically different zones of North America. </w:t>
      </w:r>
      <w:r>
        <w:rPr>
          <w:i/>
          <w:iCs/>
        </w:rPr>
        <w:t>Can Entomol</w:t>
      </w:r>
      <w:r>
        <w:t xml:space="preserve"> </w:t>
      </w:r>
      <w:r>
        <w:rPr>
          <w:b/>
          <w:bCs/>
        </w:rPr>
        <w:t>150</w:t>
      </w:r>
      <w:r>
        <w:t>: 511–519.</w:t>
      </w:r>
    </w:p>
    <w:p w14:paraId="3DD26BAA" w14:textId="77777777" w:rsidR="00540016" w:rsidRDefault="00000000">
      <w:pPr>
        <w:pStyle w:val="Bibliography"/>
      </w:pPr>
      <w:bookmarkStart w:id="53" w:name="ref-tourneur1992"/>
      <w:bookmarkEnd w:id="52"/>
      <w:r>
        <w:t xml:space="preserve">Tourneur, J.-C. &amp; Gingras, J. 1992. Egg laying in a northeastern North American (Montréal, Québec) population of </w:t>
      </w:r>
      <w:r>
        <w:rPr>
          <w:i/>
          <w:iCs/>
        </w:rPr>
        <w:t>Forficula auricularia</w:t>
      </w:r>
      <w:r>
        <w:t xml:space="preserve"> L. (Dermaptera: Forficulidae). </w:t>
      </w:r>
      <w:r>
        <w:rPr>
          <w:i/>
          <w:iCs/>
        </w:rPr>
        <w:t>Can Entomol</w:t>
      </w:r>
      <w:r>
        <w:t xml:space="preserve"> </w:t>
      </w:r>
      <w:r>
        <w:rPr>
          <w:b/>
          <w:bCs/>
        </w:rPr>
        <w:t>124</w:t>
      </w:r>
      <w:r>
        <w:t>: 1055–1061.</w:t>
      </w:r>
    </w:p>
    <w:p w14:paraId="4C7930E0" w14:textId="77777777" w:rsidR="00540016" w:rsidRDefault="00000000">
      <w:pPr>
        <w:pStyle w:val="Bibliography"/>
      </w:pPr>
      <w:bookmarkStart w:id="54" w:name="ref-vannoordwijk1986"/>
      <w:bookmarkEnd w:id="53"/>
      <w:r>
        <w:t xml:space="preserve">Van Noordwijk, A.J. &amp; Jong, G. de. 1986. Acquisition and allocation of resources: Their influence on variation in life history tactics. </w:t>
      </w:r>
      <w:r>
        <w:rPr>
          <w:i/>
          <w:iCs/>
        </w:rPr>
        <w:t>Am Nat</w:t>
      </w:r>
      <w:r>
        <w:t xml:space="preserve"> </w:t>
      </w:r>
      <w:r>
        <w:rPr>
          <w:b/>
          <w:bCs/>
        </w:rPr>
        <w:t>128</w:t>
      </w:r>
      <w:r>
        <w:t>: 137–142.</w:t>
      </w:r>
    </w:p>
    <w:p w14:paraId="6054CC3A" w14:textId="77777777" w:rsidR="00540016" w:rsidRDefault="00000000">
      <w:pPr>
        <w:pStyle w:val="Bibliography"/>
      </w:pPr>
      <w:bookmarkStart w:id="55" w:name="ref-westneat2020"/>
      <w:bookmarkEnd w:id="54"/>
      <w:r>
        <w:lastRenderedPageBreak/>
        <w:t xml:space="preserve">Westneat, D.F., Araya-Ajoy, Y.G., Allegue, H., Class, B., Dingemanse, N., Dochtermann, N.A., </w:t>
      </w:r>
      <w:r>
        <w:rPr>
          <w:i/>
          <w:iCs/>
        </w:rPr>
        <w:t>et al.</w:t>
      </w:r>
      <w:r>
        <w:t xml:space="preserve"> 2020. Collision between biological process and statistical analysis revealed by mean centring. </w:t>
      </w:r>
      <w:r>
        <w:rPr>
          <w:i/>
          <w:iCs/>
        </w:rPr>
        <w:t>J Anim Ecol</w:t>
      </w:r>
      <w:r>
        <w:t xml:space="preserve"> </w:t>
      </w:r>
      <w:r>
        <w:rPr>
          <w:b/>
          <w:bCs/>
        </w:rPr>
        <w:t>89</w:t>
      </w:r>
      <w:r>
        <w:t>: 2813–2824.</w:t>
      </w:r>
    </w:p>
    <w:p w14:paraId="302BB885" w14:textId="77777777" w:rsidR="00540016" w:rsidRDefault="00000000">
      <w:pPr>
        <w:pStyle w:val="Bibliography"/>
      </w:pPr>
      <w:bookmarkStart w:id="56" w:name="ref-wickham2016"/>
      <w:bookmarkEnd w:id="55"/>
      <w:r>
        <w:t xml:space="preserve">Wickham, H. 2016. </w:t>
      </w:r>
      <w:r>
        <w:rPr>
          <w:i/>
          <w:iCs/>
        </w:rPr>
        <w:t>ggplot2: Elegant graphics for data analysis</w:t>
      </w:r>
      <w:r>
        <w:t>. Springer, New York.</w:t>
      </w:r>
    </w:p>
    <w:p w14:paraId="18528BED" w14:textId="77777777" w:rsidR="00540016" w:rsidRDefault="00000000">
      <w:pPr>
        <w:pStyle w:val="Bibliography"/>
      </w:pPr>
      <w:bookmarkStart w:id="57" w:name="ref-winkler1987"/>
      <w:bookmarkEnd w:id="56"/>
      <w:r>
        <w:t xml:space="preserve">Winkler, D.W. &amp; Wallin, K. 1987. Offspring size and number: A life history model linking effort per offspring and total effort. </w:t>
      </w:r>
      <w:r>
        <w:rPr>
          <w:i/>
          <w:iCs/>
        </w:rPr>
        <w:t>Am Nat</w:t>
      </w:r>
      <w:r>
        <w:t xml:space="preserve"> </w:t>
      </w:r>
      <w:r>
        <w:rPr>
          <w:b/>
          <w:bCs/>
        </w:rPr>
        <w:t>129</w:t>
      </w:r>
      <w:r>
        <w:t>: 708–720.</w:t>
      </w:r>
    </w:p>
    <w:p w14:paraId="31CED31F" w14:textId="77777777" w:rsidR="00540016" w:rsidRDefault="00000000">
      <w:pPr>
        <w:pStyle w:val="Bibliography"/>
      </w:pPr>
      <w:bookmarkStart w:id="58" w:name="ref-zera2001a"/>
      <w:bookmarkEnd w:id="57"/>
      <w:r>
        <w:t xml:space="preserve">Zera, A.J. &amp; Harshman, L.G. 2001. The physiology of life history trade-offs in animals. </w:t>
      </w:r>
      <w:r>
        <w:rPr>
          <w:i/>
          <w:iCs/>
        </w:rPr>
        <w:t>Annu Rev Ecol Syst</w:t>
      </w:r>
      <w:r>
        <w:t xml:space="preserve"> </w:t>
      </w:r>
      <w:r>
        <w:rPr>
          <w:b/>
          <w:bCs/>
        </w:rPr>
        <w:t>32</w:t>
      </w:r>
      <w:r>
        <w:t>: 95–126.</w:t>
      </w:r>
    </w:p>
    <w:bookmarkEnd w:id="12"/>
    <w:bookmarkEnd w:id="58"/>
    <w:p w14:paraId="7B799708" w14:textId="77777777" w:rsidR="00C86C9D" w:rsidRDefault="00C86C9D">
      <w:pPr>
        <w:pStyle w:val="BodyText"/>
      </w:pPr>
    </w:p>
    <w:p w14:paraId="0226FD2A" w14:textId="77777777" w:rsidR="00C86C9D" w:rsidRDefault="00C86C9D">
      <w:pPr>
        <w:pStyle w:val="BodyText"/>
      </w:pPr>
    </w:p>
    <w:p w14:paraId="0834CB58" w14:textId="77777777" w:rsidR="00C86C9D" w:rsidRDefault="00C86C9D">
      <w:pPr>
        <w:pStyle w:val="BodyText"/>
      </w:pPr>
    </w:p>
    <w:p w14:paraId="5F708A56" w14:textId="77777777" w:rsidR="00C86C9D" w:rsidRDefault="00C86C9D">
      <w:pPr>
        <w:pStyle w:val="BodyText"/>
      </w:pPr>
    </w:p>
    <w:p w14:paraId="63E47976" w14:textId="77777777" w:rsidR="00C86C9D" w:rsidRDefault="00C86C9D">
      <w:pPr>
        <w:pStyle w:val="BodyText"/>
      </w:pPr>
    </w:p>
    <w:p w14:paraId="52A531EE" w14:textId="77777777" w:rsidR="00C86C9D" w:rsidRDefault="00C86C9D">
      <w:pPr>
        <w:pStyle w:val="BodyText"/>
      </w:pPr>
    </w:p>
    <w:p w14:paraId="02378D8C" w14:textId="77777777" w:rsidR="00C86C9D" w:rsidRDefault="00C86C9D">
      <w:pPr>
        <w:pStyle w:val="BodyText"/>
      </w:pPr>
    </w:p>
    <w:p w14:paraId="13F24486" w14:textId="77777777" w:rsidR="00C86C9D" w:rsidRDefault="00C86C9D">
      <w:pPr>
        <w:pStyle w:val="BodyText"/>
      </w:pPr>
    </w:p>
    <w:p w14:paraId="02C4575D" w14:textId="77777777" w:rsidR="00C86C9D" w:rsidRDefault="00C86C9D">
      <w:pPr>
        <w:pStyle w:val="BodyText"/>
      </w:pPr>
    </w:p>
    <w:p w14:paraId="2622CD3F" w14:textId="77777777" w:rsidR="00C86C9D" w:rsidRDefault="00C86C9D">
      <w:pPr>
        <w:pStyle w:val="BodyText"/>
      </w:pPr>
    </w:p>
    <w:p w14:paraId="195C17FB" w14:textId="77777777" w:rsidR="00C86C9D" w:rsidRDefault="00C86C9D">
      <w:pPr>
        <w:pStyle w:val="BodyText"/>
      </w:pPr>
    </w:p>
    <w:p w14:paraId="69FE8D46" w14:textId="77777777" w:rsidR="00C86C9D" w:rsidRDefault="00C86C9D">
      <w:pPr>
        <w:pStyle w:val="BodyText"/>
      </w:pPr>
    </w:p>
    <w:p w14:paraId="0ADD81E0" w14:textId="77777777" w:rsidR="00C86C9D" w:rsidRDefault="00C86C9D">
      <w:pPr>
        <w:pStyle w:val="BodyText"/>
      </w:pPr>
    </w:p>
    <w:p w14:paraId="668625CD" w14:textId="53FF794E" w:rsidR="00540016" w:rsidRDefault="00000000">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540016" w14:paraId="36CD094C" w14:textId="77777777">
        <w:tc>
          <w:tcPr>
            <w:tcW w:w="7920" w:type="dxa"/>
          </w:tcPr>
          <w:p w14:paraId="436505A2" w14:textId="77777777" w:rsidR="00540016" w:rsidRDefault="00000000">
            <w:pPr>
              <w:pStyle w:val="Compact"/>
              <w:jc w:val="center"/>
            </w:pPr>
            <w:bookmarkStart w:id="59" w:name="fig-one"/>
            <w:r>
              <w:rPr>
                <w:noProof/>
              </w:rPr>
              <w:drawing>
                <wp:inline distT="0" distB="0" distL="0" distR="0" wp14:anchorId="556D2D78" wp14:editId="5876357A">
                  <wp:extent cx="3810000" cy="25400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59601BA" w14:textId="77777777" w:rsidR="00540016" w:rsidRDefault="00000000">
            <w:pPr>
              <w:pStyle w:val="ImageCaption"/>
              <w:spacing w:before="200"/>
            </w:pPr>
            <w:r>
              <w:t>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(b) Between-female relationship (i.e., differences in mean allocation strategy) based on female means across broods plotted against standardized between-female deviation in egg number. The black line represents the Bayesian population-level between-female slope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Together, the panels distinguish plastic allocation within females from strategic differences among females, indicating weak support for a reproductive size–number trade-off.</w:t>
            </w:r>
          </w:p>
        </w:tc>
        <w:bookmarkEnd w:id="59"/>
      </w:tr>
    </w:tbl>
    <w:p w14:paraId="72EA8272" w14:textId="77777777" w:rsidR="00540016"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540016" w14:paraId="33749FD9" w14:textId="77777777">
        <w:tc>
          <w:tcPr>
            <w:tcW w:w="7920" w:type="dxa"/>
          </w:tcPr>
          <w:p w14:paraId="299B4773" w14:textId="77777777" w:rsidR="00540016" w:rsidRDefault="00000000">
            <w:pPr>
              <w:pStyle w:val="Compact"/>
              <w:jc w:val="center"/>
            </w:pPr>
            <w:bookmarkStart w:id="60" w:name="fig-two"/>
            <w:r>
              <w:rPr>
                <w:noProof/>
              </w:rPr>
              <w:lastRenderedPageBreak/>
              <w:drawing>
                <wp:inline distT="0" distB="0" distL="0" distR="0" wp14:anchorId="49EE5DD7" wp14:editId="5892D6BF">
                  <wp:extent cx="3810000" cy="25400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4510E02B" w14:textId="77777777" w:rsidR="00540016" w:rsidRDefault="00000000">
            <w:pPr>
              <w:pStyle w:val="ImageCaption"/>
              <w:spacing w:before="200"/>
            </w:pPr>
            <w:r>
              <w:t>Figure 2: Clutch-specific variance components of egg size. (a) Between-female variance in egg size for first and second clutches, estimated from a hierarchical Bayesian model with clutch-specific female effects. (b) Within-clutch (egg-to-egg) variance for first and second clutches. Orange points represent posterior draws, black points indicate posterior medians, and vertical lines denote 95% credible intervals. Between-female variance did not differ clearly between clutches, whereas within-clutch variance was greater in second clutches.</w:t>
            </w:r>
          </w:p>
        </w:tc>
        <w:bookmarkEnd w:id="60"/>
      </w:tr>
      <w:bookmarkEnd w:id="10"/>
    </w:tbl>
    <w:p w14:paraId="1C251396" w14:textId="77777777" w:rsidR="00CC5A43" w:rsidRDefault="00CC5A43"/>
    <w:sectPr w:rsidR="00CC5A43"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4EF3" w14:textId="77777777" w:rsidR="00CC5A43" w:rsidRDefault="00CC5A43">
      <w:pPr>
        <w:spacing w:after="0"/>
      </w:pPr>
      <w:r>
        <w:separator/>
      </w:r>
    </w:p>
  </w:endnote>
  <w:endnote w:type="continuationSeparator" w:id="0">
    <w:p w14:paraId="5F4897B5" w14:textId="77777777" w:rsidR="00CC5A43" w:rsidRDefault="00CC5A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1468ADD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E2C6A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52AD764E"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A074D6"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A412" w14:textId="77777777" w:rsidR="00CC5A43" w:rsidRDefault="00CC5A43">
      <w:pPr>
        <w:spacing w:after="0"/>
      </w:pPr>
      <w:r>
        <w:separator/>
      </w:r>
    </w:p>
  </w:footnote>
  <w:footnote w:type="continuationSeparator" w:id="0">
    <w:p w14:paraId="4D70CD72" w14:textId="77777777" w:rsidR="00CC5A43" w:rsidRDefault="00CC5A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012755C1"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11848F"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F61B" w14:textId="77777777" w:rsidR="00D100A8" w:rsidRDefault="00D100A8" w:rsidP="00F25F6C">
    <w:pPr>
      <w:pStyle w:val="Header"/>
      <w:framePr w:wrap="none" w:vAnchor="text" w:hAnchor="margin" w:xAlign="right" w:y="1"/>
      <w:rPr>
        <w:rStyle w:val="PageNumber"/>
      </w:rPr>
    </w:pPr>
  </w:p>
  <w:p w14:paraId="14F41D83"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3FE13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0222488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40016"/>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7185F"/>
    <w:rsid w:val="00783F9C"/>
    <w:rsid w:val="00784D58"/>
    <w:rsid w:val="00796EEA"/>
    <w:rsid w:val="0079719B"/>
    <w:rsid w:val="007F08B9"/>
    <w:rsid w:val="007F5E62"/>
    <w:rsid w:val="00812558"/>
    <w:rsid w:val="00851699"/>
    <w:rsid w:val="008A6D42"/>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42FD7"/>
    <w:rsid w:val="00A52F6C"/>
    <w:rsid w:val="00A5426C"/>
    <w:rsid w:val="00AA05EA"/>
    <w:rsid w:val="00AC0509"/>
    <w:rsid w:val="00AD10C6"/>
    <w:rsid w:val="00AF5194"/>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86C9D"/>
    <w:rsid w:val="00C91552"/>
    <w:rsid w:val="00CB0BD1"/>
    <w:rsid w:val="00CC5A43"/>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A3CC"/>
  <w15:docId w15:val="{14F4E69D-1F86-7C45-AAE9-7ED3AE83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mjskay.github.io/tidybay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6459</Words>
  <Characters>36820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2</cp:revision>
  <dcterms:created xsi:type="dcterms:W3CDTF">2026-05-08T15:50:00Z</dcterms:created>
  <dcterms:modified xsi:type="dcterms:W3CDTF">2026-05-08T15:50:00Z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journal-of-evolutionary-biology.csl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