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Material: Disentangling within- and between-female egg size–number trade-offs in the European earwig</w:t>
      </w:r>
    </w:p>
    <w:p>
      <w:pPr>
        <w:pStyle w:val="Author"/>
      </w:pPr>
      <w:r>
        <w:t xml:space="preserve">Clint D. Kelly</w:t>
      </w:r>
      <w:r>
        <w:rPr>
          <w:vertAlign w:val="superscript"/>
        </w:rPr>
        <w:t xml:space="preserve">1,✉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Département des Sciences biologiques, Université du Québec à Montréal, Montréal, Canada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Clint D. Kelly &lt;kelly.clint@uqam.ca&gt;</w:t>
        </w:r>
      </w:hyperlink>
    </w:p>
    <w:p>
      <w:r>
        <w:br w:type="page"/>
      </w:r>
    </w:p>
    <w:bookmarkStart w:id="48" w:name="withinbetween-multivariate-model"/>
    <w:p>
      <w:pPr>
        <w:pStyle w:val="Heading1"/>
      </w:pPr>
      <w:r>
        <w:t xml:space="preserve">1. Within–between multivariate model</w:t>
      </w:r>
    </w:p>
    <w:p>
      <w:pPr>
        <w:pStyle w:val="FirstParagraph"/>
      </w:pPr>
      <w:r>
        <w:t xml:space="preserve">To partition covariance arising from within-female plasticity from covariance attributable to consistent among-female differences, I applied the within–between decomposition of van de Pol and Wright</w:t>
      </w:r>
      <w:r>
        <w:t xml:space="preserve"> </w:t>
      </w:r>
      <w:r>
        <w:t xml:space="preserve">(Pol and Wright 2009)</w:t>
      </w:r>
      <w:r>
        <w:t xml:space="preserve">. Although mean-centering can impose assumptions about underlying biological processes</w:t>
      </w:r>
      <w:r>
        <w:t xml:space="preserve"> </w:t>
      </w:r>
      <w:r>
        <w:t xml:space="preserve">(Westneat et al. 2020)</w:t>
      </w:r>
      <w:r>
        <w:t xml:space="preserve">, these assumptions are appropriate here because the aim was to distinguish plastic allocation within females from persistent differences among females.</w:t>
      </w:r>
    </w:p>
    <w:p>
      <w:pPr>
        <w:pStyle w:val="BodyText"/>
      </w:pPr>
      <w:r>
        <w:t xml:space="preserve">Let egg number for female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brood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denoted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 Egg number was decomposed as</w:t>
      </w:r>
    </w:p>
    <w:p>
      <w:pPr>
        <w:pStyle w:val="BodyText"/>
      </w:pPr>
      <w:bookmarkStart w:id="21" w:name="eq-decomposition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1"/>
    </w:p>
    <w:p>
      <w:pPr>
        <w:pStyle w:val="FirstParagraph"/>
      </w:pPr>
      <w:r>
        <w:t xml:space="preserve">The between- and within-female components were defined as</w:t>
      </w:r>
    </w:p>
    <w:p>
      <w:pPr>
        <w:pStyle w:val="BodyText"/>
      </w:pPr>
      <w:bookmarkStart w:id="22" w:name="eq-between"/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N</m:t>
              </m:r>
            </m:e>
          </m:acc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2"/>
    </w:p>
    <w:p>
      <w:pPr>
        <w:pStyle w:val="FirstParagraph"/>
      </w:pPr>
      <w:bookmarkStart w:id="23" w:name="eq-within"/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i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3"/>
    </w:p>
    <w:bookmarkStart w:id="27" w:name="egg-number-submodel"/>
    <w:p>
      <w:pPr>
        <w:pStyle w:val="Heading2"/>
      </w:pPr>
      <w:r>
        <w:t xml:space="preserve">Egg number submodel</w:t>
      </w:r>
    </w:p>
    <w:p>
      <w:pPr>
        <w:pStyle w:val="FirstParagraph"/>
      </w:pPr>
      <w:r>
        <w:t xml:space="preserve">Egg number was modelled using a negative binomial distribution with a log link:</w:t>
      </w:r>
    </w:p>
    <w:p>
      <w:pPr>
        <w:pStyle w:val="BodyText"/>
      </w:pPr>
      <w:bookmarkStart w:id="24" w:name="eq-nb_dist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g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θ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</m:oMath>
      </m:oMathPara>
      <w:bookmarkEnd w:id="24"/>
    </w:p>
    <w:p>
      <w:pPr>
        <w:pStyle w:val="FirstParagraph"/>
      </w:pPr>
      <w:bookmarkStart w:id="25" w:name="eq-nb_link"/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sSubSup>
            <m:e>
              <m:r>
                <m:t>β</m:t>
              </m:r>
            </m:e>
            <m:sub>
              <m:r>
                <m:t>0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u</m:t>
              </m:r>
            </m:e>
            <m:sub>
              <m:r>
                <m:t>0</m:t>
              </m:r>
              <m:r>
                <m:t>i</m:t>
              </m:r>
            </m:sub>
            <m:sup>
              <m:r>
                <m:t>N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</m:e>
          </m:d>
        </m:oMath>
      </m:oMathPara>
      <w:bookmarkEnd w:id="25"/>
    </w:p>
    <w:p>
      <w:pPr>
        <w:pStyle w:val="FirstParagraph"/>
      </w:pPr>
      <w:r>
        <w:t xml:space="preserve">where</w:t>
      </w:r>
    </w:p>
    <w:p>
      <w:pPr>
        <w:pStyle w:val="BodyText"/>
      </w:pPr>
      <w:bookmarkStart w:id="26" w:name="eq-nb_random"/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0</m:t>
              </m:r>
              <m:r>
                <m:t>i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</m:t>
              </m:r>
            </m:e>
          </m:d>
        </m:oMath>
      </m:oMathPara>
      <w:bookmarkEnd w:id="26"/>
    </w:p>
    <w:bookmarkEnd w:id="27"/>
    <w:bookmarkStart w:id="31" w:name="mean-egg-size-submodel"/>
    <w:p>
      <w:pPr>
        <w:pStyle w:val="Heading2"/>
      </w:pPr>
      <w:r>
        <w:t xml:space="preserve">Mean egg size submodel</w:t>
      </w:r>
    </w:p>
    <w:p>
      <w:pPr>
        <w:pStyle w:val="FirstParagraph"/>
      </w:pPr>
      <w:r>
        <w:t xml:space="preserve">Mean egg size was modelled as</w:t>
      </w:r>
    </w:p>
    <w:p>
      <w:pPr>
        <w:pStyle w:val="BodyText"/>
      </w:pPr>
      <w:bookmarkStart w:id="28" w:name="eq-gauss_dist"/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</m:t>
              </m:r>
            </m:e>
          </m:d>
        </m:oMath>
      </m:oMathPara>
      <w:bookmarkEnd w:id="28"/>
    </w:p>
    <w:p>
      <w:pPr>
        <w:pStyle w:val="FirstParagraph"/>
      </w:pPr>
      <w:bookmarkStart w:id="29" w:name="eq-gauss_link"/>
      <m:oMathPara>
        <m:oMathParaPr>
          <m:jc m:val="center"/>
        </m:oMathParaPr>
        <m:oMath>
          <m:sSubSup>
            <m:e>
              <m:r>
                <m:t>μ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β</m:t>
              </m:r>
            </m:e>
            <m:sub>
              <m:r>
                <m:t>0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S</m:t>
              </m:r>
            </m:sup>
          </m:sSubSup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W</m:t>
              </m:r>
            </m:sub>
          </m:sSub>
          <m:sSubSup>
            <m:e>
              <m:r>
                <m:t>N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sSubSup>
            <m:e>
              <m:r>
                <m:t>N</m:t>
              </m:r>
            </m:e>
            <m:sub>
              <m:r>
                <m:t>i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u</m:t>
              </m:r>
            </m:e>
            <m:sub>
              <m:r>
                <m:t>0</m:t>
              </m:r>
              <m:r>
                <m:t>i</m:t>
              </m:r>
            </m:sub>
            <m:sup>
              <m:r>
                <m:t>S</m:t>
              </m:r>
            </m:sup>
          </m:sSubSup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</m:e>
          </m:d>
        </m:oMath>
      </m:oMathPara>
      <w:bookmarkEnd w:id="29"/>
    </w:p>
    <w:p>
      <w:pPr>
        <w:pStyle w:val="FirstParagraph"/>
      </w:pPr>
      <w:r>
        <w:t xml:space="preserve">with</w:t>
      </w:r>
    </w:p>
    <w:p>
      <w:pPr>
        <w:pStyle w:val="BodyText"/>
      </w:pPr>
      <w:bookmarkStart w:id="30" w:name="eq-gauss_random"/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0</m:t>
              </m:r>
              <m:r>
                <m:t>i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</m:e>
          </m:d>
        </m:oMath>
      </m:oMathPara>
      <w:bookmarkEnd w:id="30"/>
    </w:p>
    <w:bookmarkEnd w:id="31"/>
    <w:bookmarkStart w:id="35" w:name="multivariate-structure"/>
    <w:p>
      <w:pPr>
        <w:pStyle w:val="Heading2"/>
      </w:pPr>
      <w:r>
        <w:t xml:space="preserve">Multivariate structure</w:t>
      </w:r>
    </w:p>
    <w:p>
      <w:pPr>
        <w:pStyle w:val="FirstParagraph"/>
      </w:pPr>
      <w:r>
        <w:t xml:space="preserve">The two submodels were fit jointly:</w:t>
      </w:r>
    </w:p>
    <w:p>
      <w:pPr>
        <w:pStyle w:val="BodyText"/>
      </w:pPr>
      <w:bookmarkStart w:id="32" w:name="eq-mvn"/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  <m:sup>
                        <m:r>
                          <m:t>S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M</m:t>
          </m:r>
          <m:r>
            <m:rPr>
              <m:sty m:val="p"/>
              <m:scr m:val="script"/>
            </m:rPr>
            <m:t>V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Σ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</m:t>
              </m:r>
            </m:e>
          </m:d>
        </m:oMath>
      </m:oMathPara>
      <w:bookmarkEnd w:id="32"/>
    </w:p>
    <w:p>
      <w:pPr>
        <w:pStyle w:val="FirstParagraph"/>
      </w:pPr>
      <w:r>
        <w:t xml:space="preserve">where</w:t>
      </w:r>
    </w:p>
    <w:p>
      <w:pPr>
        <w:pStyle w:val="BodyText"/>
      </w:pPr>
      <w:bookmarkStart w:id="33" w:name="eq-sigma_matrix"/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N</m:t>
                        </m:r>
                        <m:r>
                          <m:t>S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N</m:t>
                        </m:r>
                        <m:r>
                          <m:t>S</m:t>
                        </m:r>
                      </m:sub>
                    </m:sSub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  <m:r>
                          <m:t>d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11</m:t>
              </m:r>
            </m:e>
          </m:d>
        </m:oMath>
      </m:oMathPara>
      <w:bookmarkEnd w:id="33"/>
    </w:p>
    <w:p>
      <w:pPr>
        <w:pStyle w:val="FirstParagraph"/>
      </w:pPr>
      <w:r>
        <w:t xml:space="preserve">The intercept correlation is</w:t>
      </w:r>
    </w:p>
    <w:p>
      <w:pPr>
        <w:pStyle w:val="BodyText"/>
      </w:pPr>
      <w:bookmarkStart w:id="34" w:name="eq-intercept_corr"/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N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N</m:t>
                  </m:r>
                  <m:r>
                    <m:t>S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  <m:r>
                        <m:t>d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12</m:t>
              </m:r>
            </m:e>
          </m:d>
        </m:oMath>
      </m:oMathPara>
      <w:bookmarkEnd w:id="34"/>
    </w:p>
    <w:bookmarkEnd w:id="35"/>
    <w:bookmarkStart w:id="37" w:name="X0f816ef2495b00e8a187e8ee26189908fbc39c6"/>
    <w:p>
      <w:pPr>
        <w:pStyle w:val="Heading2"/>
      </w:pPr>
      <w:r>
        <w:t xml:space="preserve">Relationship between model parameters and total phenotypic covariance</w:t>
      </w:r>
    </w:p>
    <w:p>
      <w:pPr>
        <w:pStyle w:val="FirstParagraph"/>
      </w:pPr>
      <w:r>
        <w:t xml:space="preserve">Total phenotypic covariance can be partitioned as</w:t>
      </w:r>
    </w:p>
    <w:p>
      <w:pPr>
        <w:pStyle w:val="BodyText"/>
      </w:pPr>
      <w:bookmarkStart w:id="36" w:name="eq-cov_partition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among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13</m:t>
              </m:r>
            </m:e>
          </m:d>
        </m:oMath>
      </m:oMathPara>
      <w:bookmarkEnd w:id="36"/>
    </w:p>
    <w:bookmarkEnd w:id="37"/>
    <w:bookmarkStart w:id="39" w:name="within-female-covariance"/>
    <w:p>
      <w:pPr>
        <w:pStyle w:val="Heading2"/>
      </w:pPr>
      <w:r>
        <w:t xml:space="preserve">Within-female covariance</w:t>
      </w:r>
    </w:p>
    <w:p>
      <w:pPr>
        <w:pStyle w:val="FirstParagraph"/>
      </w:pPr>
      <w:bookmarkStart w:id="38" w:name="eq-cov_within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W</m:t>
              </m:r>
            </m:sub>
          </m:sSub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W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</m:e>
          </m:d>
        </m:oMath>
      </m:oMathPara>
      <w:bookmarkEnd w:id="38"/>
    </w:p>
    <w:bookmarkEnd w:id="39"/>
    <w:bookmarkStart w:id="43" w:name="among-female-covariance"/>
    <w:p>
      <w:pPr>
        <w:pStyle w:val="Heading2"/>
      </w:pPr>
      <w:r>
        <w:t xml:space="preserve">Among-female covariance</w:t>
      </w:r>
    </w:p>
    <w:p>
      <w:pPr>
        <w:pStyle w:val="FirstParagraph"/>
      </w:pPr>
      <w:bookmarkStart w:id="40" w:name="eq-cov_among_slop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among, slope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15</m:t>
              </m:r>
            </m:e>
          </m:d>
        </m:oMath>
      </m:oMathPara>
      <w:bookmarkEnd w:id="40"/>
    </w:p>
    <w:p>
      <w:pPr>
        <w:pStyle w:val="FirstParagraph"/>
      </w:pPr>
      <w:bookmarkStart w:id="41" w:name="eq-cov_among_intercept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among, intercept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N</m:t>
              </m:r>
              <m:r>
                <m:t>S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16</m:t>
              </m:r>
            </m:e>
          </m:d>
        </m:oMath>
      </m:oMathPara>
      <w:bookmarkEnd w:id="41"/>
    </w:p>
    <w:p>
      <w:pPr>
        <w:pStyle w:val="FirstParagraph"/>
      </w:pPr>
      <w:r>
        <w:t xml:space="preserve">Total among-female covariance is therefore</w:t>
      </w:r>
    </w:p>
    <w:p>
      <w:pPr>
        <w:pStyle w:val="BodyText"/>
      </w:pPr>
      <w:bookmarkStart w:id="42" w:name="eq-cov_among_total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among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</m:e>
          </m:d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N</m:t>
              </m:r>
              <m:r>
                <m:t>S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17</m:t>
              </m:r>
            </m:e>
          </m:d>
        </m:oMath>
      </m:oMathPara>
      <w:bookmarkEnd w:id="42"/>
    </w:p>
    <w:bookmarkEnd w:id="43"/>
    <w:bookmarkStart w:id="47" w:name="total-phenotypic-covariance"/>
    <w:p>
      <w:pPr>
        <w:pStyle w:val="Heading2"/>
      </w:pPr>
      <w:r>
        <w:t xml:space="preserve">Total phenotypic covariance</w:t>
      </w:r>
    </w:p>
    <w:p>
      <w:pPr>
        <w:pStyle w:val="FirstParagraph"/>
      </w:pPr>
      <w:r>
        <w:t xml:space="preserve">Combining components:</w:t>
      </w:r>
    </w:p>
    <w:p>
      <w:pPr>
        <w:pStyle w:val="BodyText"/>
      </w:pPr>
      <w:bookmarkStart w:id="44" w:name="eq-cov_total_expand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W</m:t>
              </m:r>
            </m:sub>
          </m:sSub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W</m:t>
                  </m:r>
                </m:sup>
              </m:sSubSup>
            </m:e>
          </m:d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</m:e>
          </m:d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N</m:t>
              </m:r>
              <m:r>
                <m:t>S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18</m:t>
              </m:r>
            </m:e>
          </m:d>
        </m:oMath>
      </m:oMathPara>
      <w:bookmarkEnd w:id="44"/>
    </w:p>
    <w:p>
      <w:pPr>
        <w:pStyle w:val="FirstParagraph"/>
      </w:pPr>
      <w:r>
        <w:t xml:space="preserve">The intercept correlation is</w:t>
      </w:r>
    </w:p>
    <w:p>
      <w:pPr>
        <w:pStyle w:val="BodyText"/>
      </w:pPr>
      <w:bookmarkStart w:id="45" w:name="eq-rho_definition"/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N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N</m:t>
                  </m:r>
                  <m:r>
                    <m:t>S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  <m:r>
                        <m:t>d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19</m:t>
              </m:r>
            </m:e>
          </m:d>
        </m:oMath>
      </m:oMathPara>
      <w:bookmarkEnd w:id="45"/>
    </w:p>
    <w:p>
      <w:r>
        <w:br w:type="page"/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1: Posterior summaries from the multivariate Bayesian mixed-effects model examining the relationship between egg number and mean egg size. The model jointly estimated a negative binomial model for egg number and a Gaussian model for egg size, including brood effects and partitioning egg number into within- and between-female components. Reported values are posterior medians and 95% credible intervals (CrI). Random effects represent among-female (ID-level) variation, and the correlation term describes the association between female intercepts for egg number and egg size. The dispersion parameter refers to the negative binomial shape parameter.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878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header 1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620" w:hRule="auto"/>
              </w:trPr>
              body 1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Egg number: Intercept (Brood 1, log scale)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3.940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3.782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4.107</w:t>
                  </w:r>
                </w:p>
              </w:tc>
            </w:tr>
            <w:tr>
              <w:trPr>
                <w:trHeight w:val="620" w:hRule="auto"/>
              </w:trPr>
              body 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Egg number: Brood 2 − Brood 1 (log scale)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-0.413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-0.635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-0.189</w:t>
                  </w:r>
                </w:p>
              </w:tc>
            </w:tr>
            <w:tr>
              <w:trPr>
                <w:trHeight w:val="620" w:hRule="auto"/>
              </w:trPr>
              body 3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Egg size: Intercept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3.543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3.468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3.618</w:t>
                  </w:r>
                </w:p>
              </w:tc>
            </w:tr>
            <w:tr>
              <w:trPr>
                <w:trHeight w:val="618" w:hRule="auto"/>
              </w:trPr>
              body 4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Egg size: 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-0.133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-0.244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-0.024</w:t>
                  </w:r>
                </w:p>
              </w:tc>
            </w:tr>
            <w:tr>
              <w:trPr>
                <w:trHeight w:val="620" w:hRule="auto"/>
              </w:trPr>
              body 5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Egg size: Between-female deviation in egg number (z)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-0.050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-0.104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0.002</w:t>
                  </w:r>
                </w:p>
              </w:tc>
            </w:tr>
            <w:tr>
              <w:trPr>
                <w:trHeight w:val="620" w:hRule="auto"/>
              </w:trPr>
              body 6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Egg size: Within-female deviation in egg number (z)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-0.061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0.049</w:t>
                  </w:r>
                </w:p>
              </w:tc>
            </w:tr>
            <w:tr>
              <w:trPr>
                <w:trHeight w:val="618" w:hRule="auto"/>
              </w:trPr>
              body 7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cor_id__eggnumber_Intercept__meaneggsize_Intercept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-0.813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0.816</w:t>
                  </w:r>
                </w:p>
              </w:tc>
            </w:tr>
            <w:tr>
              <w:trPr>
                <w:trHeight w:val="621" w:hRule="auto"/>
              </w:trPr>
              body 8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SD (Egg number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0.078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0.003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0.270</w:t>
                  </w:r>
                </w:p>
              </w:tc>
            </w:tr>
            <w:tr>
              <w:trPr>
                <w:trHeight w:val="621" w:hRule="auto"/>
              </w:trPr>
              body 9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SD (Egg size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0.082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</w:tr>
            <w:tr>
              <w:trPr>
                <w:trHeight w:val="621" w:hRule="auto"/>
              </w:trPr>
              body10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Residual SD (Egg size)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0.191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0.235</w:t>
                  </w:r>
                </w:p>
              </w:tc>
            </w:tr>
            <w:tr>
              <w:trPr>
                <w:trHeight w:val="620" w:hRule="auto"/>
              </w:trPr>
              body11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Dispersion (Egg number | NegBin shape)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4.080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2.835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5.853</w:t>
                  </w:r>
                </w:p>
              </w:tc>
            </w:tr>
          </w:tbl>
          <w:bookmarkEnd w:id="46"/>
        </w:tc>
      </w:tr>
    </w:tbl>
    <w:p>
      <w:pPr>
        <w:sectPr>
          <w:pgSz w:h="11906" w:w="16838" w:orient="landscape"/>
        </w:sectPr>
      </w:pPr>
    </w:p>
    <w:bookmarkEnd w:id="47"/>
    <w:bookmarkEnd w:id="48"/>
    <w:bookmarkStart w:id="54" w:name="Xa1d38ba755028b448e0b7f415201f4bb4160237"/>
    <w:p>
      <w:pPr>
        <w:pStyle w:val="Heading1"/>
      </w:pPr>
      <w:r>
        <w:t xml:space="preserve">2. Clutch-Specific Hierarchical Model of Egg Size</w:t>
      </w:r>
    </w:p>
    <w:bookmarkStart w:id="49" w:name="statistical-model"/>
    <w:p>
      <w:pPr>
        <w:pStyle w:val="Heading2"/>
      </w:pPr>
      <w:r>
        <w:t xml:space="preserve">Statistical Model</w:t>
      </w:r>
    </w:p>
    <w:p>
      <w:pPr>
        <w:pStyle w:val="FirstParagraph"/>
      </w:pPr>
      <w:r>
        <w:t xml:space="preserve">Egg perimeter was standardized prior to analysis (mean = 0, SD = 1).</w:t>
      </w:r>
    </w:p>
    <w:p>
      <w:pPr>
        <w:pStyle w:val="BodyText"/>
      </w:pPr>
      <w:r>
        <w:t xml:space="preserve">For female</w:t>
      </w:r>
      <w:r>
        <w:t xml:space="preserve"> </w:t>
      </w:r>
      <m:oMath>
        <m:r>
          <m:t>i</m:t>
        </m:r>
      </m:oMath>
      <w:r>
        <w:t xml:space="preserve">, egg</w:t>
      </w:r>
      <w:r>
        <w:t xml:space="preserve"> </w:t>
      </w:r>
      <m:oMath>
        <m:r>
          <m:t>j</m:t>
        </m:r>
      </m:oMath>
      <w:r>
        <w:t xml:space="preserve">, and brood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standardized egg size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b</m:t>
            </m:r>
          </m:sub>
        </m:sSub>
      </m:oMath>
      <w:r>
        <w:t xml:space="preserve"> </w:t>
      </w:r>
      <w:r>
        <w:t xml:space="preserve">was modeled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b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The conditional mean structure was: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  <m:r>
                <m:t>j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I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egg size in clutch 1 (reference level),</w:t>
      </w:r>
      <w:r>
        <w:br/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fixed difference between clutch 2 and clutch 1,</w:t>
      </w:r>
      <w:r>
        <w:br/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i</m:t>
            </m:r>
            <m:r>
              <m:t>b</m:t>
            </m:r>
          </m:sub>
        </m:sSub>
      </m:oMath>
      <w:r>
        <w:t xml:space="preserve"> </w:t>
      </w:r>
      <w:r>
        <w:t xml:space="preserve">is the female-specific deviation for clutch</w:t>
      </w:r>
      <w:r>
        <w:t xml:space="preserve"> </w:t>
      </w:r>
      <m:oMath>
        <m:r>
          <m:t>b</m:t>
        </m:r>
      </m:oMath>
      <w:r>
        <w:t xml:space="preserve">.</w:t>
      </w:r>
    </w:p>
    <w:bookmarkEnd w:id="49"/>
    <w:bookmarkStart w:id="50" w:name="random-effects-structure"/>
    <w:p>
      <w:pPr>
        <w:pStyle w:val="Heading2"/>
      </w:pPr>
      <w:r>
        <w:t xml:space="preserve">Random Effects Structure</w:t>
      </w:r>
    </w:p>
    <w:p>
      <w:pPr>
        <w:pStyle w:val="FirstParagraph"/>
      </w:pPr>
      <w:r>
        <w:t xml:space="preserve">Clutch-specific female deviations were modeled as a correlated bivariate normal vector: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M</m:t>
          </m:r>
          <m:r>
            <m:rPr>
              <m:sty m:val="p"/>
              <m:scr m:val="script"/>
            </m:rPr>
            <m:t>V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Σ</m:t>
              </m:r>
            </m:e>
          </m:d>
        </m:oMath>
      </m:oMathPara>
    </w:p>
    <w:p>
      <w:pPr>
        <w:pStyle w:val="FirstParagraph"/>
      </w:pPr>
      <w:r>
        <w:t xml:space="preserve">with variance–covariance matrix: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ρ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ρ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Here:</w:t>
      </w:r>
    </w:p>
    <w:p>
      <w:pPr>
        <w:pStyle w:val="Compact"/>
        <w:numPr>
          <w:ilvl w:val="0"/>
          <w:numId w:val="1002"/>
        </w:numPr>
      </w:pPr>
      <m:oMath>
        <m:sSubSup>
          <m:e>
            <m:r>
              <m:t>τ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τ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are the among-female variances in clutches 1 and 2, respectively,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u</m:t>
                </m:r>
              </m:e>
              <m:sub>
                <m:r>
                  <m:t>i</m:t>
                </m:r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is the correlation between female deviations across clutches.</w:t>
      </w:r>
    </w:p>
    <w:p>
      <w:pPr>
        <w:pStyle w:val="FirstParagraph"/>
      </w:pPr>
      <w:r>
        <w:t xml:space="preserve">Importantly, no clutch-independent random intercept was estimated. The model includes only clutch-specific female deviations (i.e., random slopes of clutch within female), corresponding to the specification</w:t>
      </w:r>
      <w:r>
        <w:t xml:space="preserve"> </w:t>
      </w:r>
      <w:r>
        <w:rPr>
          <w:rStyle w:val="VerbatimChar"/>
        </w:rPr>
        <w:t xml:space="preserve">(0 + brood_factor | id)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brms</w:t>
      </w:r>
      <w:r>
        <w:t xml:space="preserve">.</w:t>
      </w:r>
    </w:p>
    <w:bookmarkEnd w:id="50"/>
    <w:bookmarkStart w:id="51" w:name="residual-variance-model"/>
    <w:p>
      <w:pPr>
        <w:pStyle w:val="Heading2"/>
      </w:pPr>
      <w:r>
        <w:t xml:space="preserve">Residual Variance Model</w:t>
      </w:r>
    </w:p>
    <w:p>
      <w:pPr>
        <w:pStyle w:val="FirstParagraph"/>
      </w:pPr>
      <w:r>
        <w:t xml:space="preserve">Residual variance was allowed to differ between clutches: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I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residual variance in clutch 1,</w:t>
      </w:r>
      <w:r>
        <w:br/>
      </w:r>
    </w:p>
    <w:p>
      <w:pPr>
        <w:pStyle w:val="Compact"/>
        <w:numPr>
          <w:ilvl w:val="0"/>
          <w:numId w:val="1003"/>
        </w:numPr>
      </w:pP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residual variance in clutch 2.</w:t>
      </w:r>
    </w:p>
    <w:p>
      <w:pPr>
        <w:pStyle w:val="FirstParagraph"/>
      </w:pPr>
      <w:r>
        <w:t xml:space="preserve">The log link ensures that residual standard deviations remain positive.</w:t>
      </w:r>
    </w:p>
    <w:bookmarkEnd w:id="51"/>
    <w:bookmarkStart w:id="53" w:name="corresponding-brms-specification"/>
    <w:p>
      <w:pPr>
        <w:pStyle w:val="Heading2"/>
      </w:pPr>
      <w:r>
        <w:t xml:space="preserve">Corresponding</w:t>
      </w:r>
      <w:r>
        <w:t xml:space="preserve"> </w:t>
      </w:r>
      <w:r>
        <w:rPr>
          <w:i/>
          <w:iCs/>
        </w:rPr>
        <w:t xml:space="preserve">brms</w:t>
      </w:r>
      <w:r>
        <w:t xml:space="preserve"> </w:t>
      </w:r>
      <w:r>
        <w:t xml:space="preserve">Specification</w:t>
      </w:r>
    </w:p>
    <w:p>
      <w:pPr>
        <w:pStyle w:val="SourceCode"/>
      </w:pPr>
      <w:r>
        <w:rPr>
          <w:rStyle w:val="FunctionTok"/>
        </w:rPr>
        <w:t xml:space="preserve">bf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(mean.perim)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brood_factor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brood_factor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id),</w:t>
      </w:r>
      <w:r>
        <w:br/>
      </w:r>
      <w:r>
        <w:rPr>
          <w:rStyle w:val="NormalTok"/>
        </w:rPr>
        <w:t xml:space="preserve">  sigma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brood_factor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2: Posterior medians and 95% credible intervals from a Bayesian mixed model of scaled egg perimeter, including clutch-specific means, clutch-specific female-level random effects, and clutch-specific residual variance.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552"/>
              <w:gridCol w:w="1266"/>
              <w:gridCol w:w="1866"/>
              <w:gridCol w:w="1866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Lower 95% CrI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Upper 95% CrI</w:t>
                  </w:r>
                </w:p>
              </w:tc>
            </w:tr>
            <w:tr>
              <w:trPr>
                <w:trHeight w:val="616" w:hRule="auto"/>
              </w:trPr>
              body1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Mean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0.283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0.050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0.530</w:t>
                  </w:r>
                </w:p>
              </w:tc>
            </w:tr>
            <w:tr>
              <w:trPr>
                <w:trHeight w:val="573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Brood 2 − Brood 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-0.535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-0.827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-0.246</w:t>
                  </w:r>
                </w:p>
              </w:tc>
            </w:tr>
            <w:tr>
              <w:trPr>
                <w:trHeight w:val="618" w:hRule="auto"/>
              </w:trPr>
              body3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Correlation (Brood 1, Brood 2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0.250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-0.025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0.488</w:t>
                  </w:r>
                </w:p>
              </w:tc>
            </w:tr>
            <w:tr>
              <w:trPr>
                <w:trHeight w:val="618" w:hRule="auto"/>
              </w:trPr>
              body4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SD (Brood 1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0.855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0.704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1.058</w:t>
                  </w:r>
                </w:p>
              </w:tc>
            </w:tr>
            <w:tr>
              <w:trPr>
                <w:trHeight w:val="618" w:hRule="auto"/>
              </w:trPr>
              body5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SD (Brood 2 | Female ID)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0.784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0.638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0.982</w:t>
                  </w:r>
                </w:p>
              </w:tc>
            </w:tr>
            <w:tr>
              <w:trPr>
                <w:trHeight w:val="618" w:hRule="auto"/>
              </w:trPr>
              body6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Residual SD (Brood 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0.457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0.444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0.471</w:t>
                  </w:r>
                </w:p>
              </w:tc>
            </w:tr>
            <w:tr>
              <w:trPr>
                <w:trHeight w:val="618" w:hRule="auto"/>
              </w:trPr>
              body7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Residual SD (Brood 2)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0.594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0.574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pStyle w:val="Normal"/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z w:val="22"/>
                      <w:szCs w:val="22"/>
                      <w:color w:val="000000"/>
                    </w:rPr>
                    <w:t xml:space="preserve">0.616</w:t>
                  </w:r>
                </w:p>
              </w:tc>
            </w:tr>
          </w:tbl>
          <w:bookmarkEnd w:id="52"/>
        </w:tc>
      </w:tr>
    </w:tbl>
    <w:p>
      <w:r>
        <w:br w:type="page"/>
      </w:r>
    </w:p>
    <w:bookmarkEnd w:id="53"/>
    <w:bookmarkEnd w:id="54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5" w:name="ref-vandepol2009"/>
    <w:p>
      <w:pPr>
        <w:pStyle w:val="Bibliography"/>
      </w:pPr>
      <w:r>
        <w:t xml:space="preserve">Pol, M. van de, and J. Wright. 2009. A simple method for distinguishing within- versus between-subject effects using mixed models. Anim Behav 77:753–758.</w:t>
      </w:r>
    </w:p>
    <w:bookmarkEnd w:id="55"/>
    <w:bookmarkStart w:id="56" w:name="ref-westneat2020"/>
    <w:p>
      <w:pPr>
        <w:pStyle w:val="Bibliography"/>
      </w:pPr>
      <w:r>
        <w:t xml:space="preserve">Westneat, D. F., Y. G. Araya-Ajoy, H. Allegue, B. Class, N. Dingemanse, N. A. Dochtermann, L. Z. Garamszegi, J. G. A. Martin, S. Nakagawa, D. Réale, and H. Schielzeth. 2020. Collision between biological process and statistical analysis revealed by mean centring. J Anim Ecol 89:2813–2824.</w:t>
      </w:r>
    </w:p>
    <w:bookmarkEnd w:id="56"/>
    <w:bookmarkEnd w:id="57"/>
    <w:bookmarkEnd w:id="58"/>
    <w:sectPr w:rsidR="00D16E09" w:rsidSect="00464596">
      <w:headerReference r:id="rId10" w:type="even"/>
      <w:headerReference r:id="rId9" w:type="default"/>
      <w:footerReference r:id="rId12" w:type="even"/>
      <w:footerReference r:id="rId11" w:type="default"/>
      <w:pgSz w:h="15840" w:w="12240"/>
      <w:pgMar w:bottom="2024" w:footer="737" w:gutter="0" w:header="737" w:left="1418" w:right="1418" w:top="1531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variable"/>
    <w:sig w:usb0="0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5473223"/>
      <w:docPartObj>
        <w:docPartGallery w:val="Page Numbers (Bottom of Page)"/>
        <w:docPartUnique/>
      </w:docPartObj>
    </w:sdtPr>
    <w:sdtContent>
      <w:p w14:paraId="57827767" w14:textId="799FD113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D49C43" w14:textId="77777777" w:rsidR="00CE76D0" w:rsidRDefault="00CE76D0" w:rsidP="00CE76D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67625058"/>
      <w:docPartObj>
        <w:docPartGallery w:val="Page Numbers (Bottom of Page)"/>
        <w:docPartUnique/>
      </w:docPartObj>
    </w:sdtPr>
    <w:sdtContent>
      <w:p w14:paraId="3DB48E90" w14:textId="23080826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62DCE4" w14:textId="77777777" w:rsidR="00CE76D0" w:rsidRDefault="00CE76D0" w:rsidP="00CE76D0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43256960"/>
      <w:docPartObj>
        <w:docPartGallery w:val="Page Numbers (Top of Page)"/>
        <w:docPartUnique/>
      </w:docPartObj>
    </w:sdtPr>
    <w:sdtContent>
      <w:p w14:paraId="1616C1F3" w14:textId="6DFF5DDD" w:rsidR="00D100A8" w:rsidRDefault="00D100A8" w:rsidP="00F25F6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B09DCE" w14:textId="77777777" w:rsidR="00D100A8" w:rsidRDefault="00D100A8" w:rsidP="00D100A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A2212" w14:textId="3FC6FA33" w:rsidR="00D100A8" w:rsidRDefault="00D100A8" w:rsidP="00F25F6C">
    <w:pPr>
      <w:pStyle w:val="Header"/>
      <w:framePr w:wrap="none" w:vAnchor="text" w:hAnchor="margin" w:xAlign="right" w:y="1"/>
      <w:rPr>
        <w:rStyle w:val="PageNumber"/>
      </w:rPr>
    </w:pPr>
  </w:p>
  <w:p w14:paraId="443FE0C0" w14:textId="77777777" w:rsidR="00D100A8" w:rsidRDefault="00D100A8" w:rsidP="00232669">
    <w:pPr>
      <w:pStyle w:val="Header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D5E45B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5E26BA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237EE0F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D76EA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8ACF7E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1D5CDB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CF883DB2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B5A45A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D8826D8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2543F56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2C1AE401"/>
    <w:multiLevelType w:val="multilevel"/>
    <w:tmpl w:val="05CEFCF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1">
    <w:nsid w:val="2E3D24D9"/>
    <w:multiLevelType w:val="multilevel"/>
    <w:tmpl w:val="1E004D3C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4A572E80"/>
    <w:multiLevelType w:val="hybridMultilevel"/>
    <w:tmpl w:val="1E004D3C"/>
    <w:lvl w:ilvl="0" w:tplc="99CE2436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45054215" w:numId="1">
    <w:abstractNumId w:val="10"/>
  </w:num>
  <w:num w16cid:durableId="1866140359" w:numId="2">
    <w:abstractNumId w:val="0"/>
  </w:num>
  <w:num w16cid:durableId="2053848946" w:numId="3">
    <w:abstractNumId w:val="1"/>
  </w:num>
  <w:num w16cid:durableId="1342463185" w:numId="4">
    <w:abstractNumId w:val="2"/>
  </w:num>
  <w:num w16cid:durableId="1274483611" w:numId="5">
    <w:abstractNumId w:val="3"/>
  </w:num>
  <w:num w16cid:durableId="995885320" w:numId="6">
    <w:abstractNumId w:val="8"/>
  </w:num>
  <w:num w16cid:durableId="896205620" w:numId="7">
    <w:abstractNumId w:val="4"/>
  </w:num>
  <w:num w16cid:durableId="1489981213" w:numId="8">
    <w:abstractNumId w:val="5"/>
  </w:num>
  <w:num w16cid:durableId="829293693" w:numId="9">
    <w:abstractNumId w:val="6"/>
  </w:num>
  <w:num w16cid:durableId="456608145" w:numId="10">
    <w:abstractNumId w:val="7"/>
  </w:num>
  <w:num w16cid:durableId="75834470" w:numId="11">
    <w:abstractNumId w:val="9"/>
  </w:num>
  <w:num w16cid:durableId="1124497384" w:numId="12">
    <w:abstractNumId w:val="12"/>
  </w:num>
  <w:num w16cid:durableId="442194333" w:numId="13">
    <w:abstractNumId w:val="1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7DE"/>
    <w:rsid w:val="00041E69"/>
    <w:rsid w:val="0004242D"/>
    <w:rsid w:val="000C346C"/>
    <w:rsid w:val="000E7DF5"/>
    <w:rsid w:val="00106939"/>
    <w:rsid w:val="001417A7"/>
    <w:rsid w:val="00153ABC"/>
    <w:rsid w:val="00193F49"/>
    <w:rsid w:val="001979AD"/>
    <w:rsid w:val="001D38FE"/>
    <w:rsid w:val="001E40BB"/>
    <w:rsid w:val="001F5DEF"/>
    <w:rsid w:val="00232669"/>
    <w:rsid w:val="00252E2E"/>
    <w:rsid w:val="00272D89"/>
    <w:rsid w:val="00273020"/>
    <w:rsid w:val="002D1FEF"/>
    <w:rsid w:val="003131CC"/>
    <w:rsid w:val="003D6D18"/>
    <w:rsid w:val="00414294"/>
    <w:rsid w:val="0043074D"/>
    <w:rsid w:val="00464596"/>
    <w:rsid w:val="00485B4F"/>
    <w:rsid w:val="004E29B3"/>
    <w:rsid w:val="004F0318"/>
    <w:rsid w:val="004F1E13"/>
    <w:rsid w:val="004F313A"/>
    <w:rsid w:val="0051212F"/>
    <w:rsid w:val="00513CF5"/>
    <w:rsid w:val="00514785"/>
    <w:rsid w:val="00537A4C"/>
    <w:rsid w:val="00581971"/>
    <w:rsid w:val="00590D07"/>
    <w:rsid w:val="005C4826"/>
    <w:rsid w:val="005E655C"/>
    <w:rsid w:val="00603165"/>
    <w:rsid w:val="00641EC4"/>
    <w:rsid w:val="0065421B"/>
    <w:rsid w:val="00671E18"/>
    <w:rsid w:val="006B4643"/>
    <w:rsid w:val="006B5CD4"/>
    <w:rsid w:val="006C5D88"/>
    <w:rsid w:val="006D02B1"/>
    <w:rsid w:val="00732200"/>
    <w:rsid w:val="0074662F"/>
    <w:rsid w:val="00746FBE"/>
    <w:rsid w:val="007472BC"/>
    <w:rsid w:val="00753713"/>
    <w:rsid w:val="00783F9C"/>
    <w:rsid w:val="00784D58"/>
    <w:rsid w:val="00796EEA"/>
    <w:rsid w:val="0079719B"/>
    <w:rsid w:val="007F08B9"/>
    <w:rsid w:val="007F5E62"/>
    <w:rsid w:val="00812558"/>
    <w:rsid w:val="00851699"/>
    <w:rsid w:val="008D3402"/>
    <w:rsid w:val="008D6863"/>
    <w:rsid w:val="008D69E1"/>
    <w:rsid w:val="008E79E4"/>
    <w:rsid w:val="0090509B"/>
    <w:rsid w:val="00921965"/>
    <w:rsid w:val="00923B2D"/>
    <w:rsid w:val="00930300"/>
    <w:rsid w:val="009516B1"/>
    <w:rsid w:val="009679C5"/>
    <w:rsid w:val="00975F65"/>
    <w:rsid w:val="009815B0"/>
    <w:rsid w:val="009A7662"/>
    <w:rsid w:val="009B2616"/>
    <w:rsid w:val="009F1191"/>
    <w:rsid w:val="00A0102A"/>
    <w:rsid w:val="00A52F6C"/>
    <w:rsid w:val="00A5426C"/>
    <w:rsid w:val="00AA05EA"/>
    <w:rsid w:val="00AC0509"/>
    <w:rsid w:val="00AD10C6"/>
    <w:rsid w:val="00B122AB"/>
    <w:rsid w:val="00B16553"/>
    <w:rsid w:val="00B229FD"/>
    <w:rsid w:val="00B24381"/>
    <w:rsid w:val="00B367D0"/>
    <w:rsid w:val="00B42D7A"/>
    <w:rsid w:val="00B86B75"/>
    <w:rsid w:val="00BC19B9"/>
    <w:rsid w:val="00BC48D5"/>
    <w:rsid w:val="00BF10FD"/>
    <w:rsid w:val="00C04017"/>
    <w:rsid w:val="00C36279"/>
    <w:rsid w:val="00C5226A"/>
    <w:rsid w:val="00C742F5"/>
    <w:rsid w:val="00C74E5F"/>
    <w:rsid w:val="00C91552"/>
    <w:rsid w:val="00CB0BD1"/>
    <w:rsid w:val="00CD0B57"/>
    <w:rsid w:val="00CD5B1B"/>
    <w:rsid w:val="00CD64F0"/>
    <w:rsid w:val="00CE76D0"/>
    <w:rsid w:val="00D100A8"/>
    <w:rsid w:val="00D151A9"/>
    <w:rsid w:val="00D16E09"/>
    <w:rsid w:val="00D37451"/>
    <w:rsid w:val="00D63932"/>
    <w:rsid w:val="00D700CE"/>
    <w:rsid w:val="00DB45E1"/>
    <w:rsid w:val="00DE1154"/>
    <w:rsid w:val="00E129FB"/>
    <w:rsid w:val="00E315A3"/>
    <w:rsid w:val="00E377EC"/>
    <w:rsid w:val="00E42ECF"/>
    <w:rsid w:val="00E97606"/>
    <w:rsid w:val="00EC40EF"/>
    <w:rsid w:val="00ED4ADB"/>
    <w:rsid w:val="00EE03BB"/>
    <w:rsid w:val="00EE114C"/>
    <w:rsid w:val="00EE14C9"/>
    <w:rsid w:val="00EE45AD"/>
    <w:rsid w:val="00EE6CB3"/>
    <w:rsid w:val="00F04470"/>
    <w:rsid w:val="00F613D0"/>
    <w:rsid w:val="00F949F0"/>
    <w:rsid w:val="00FD1322"/>
    <w:rsid w:val="00FD4D8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65421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CB0BD1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90509B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EE03BB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  <w:sz w:val="32"/>
    </w:rPr>
  </w:style>
  <w:style w:styleId="Heading5" w:type="paragraph">
    <w:name w:val="heading 5"/>
    <w:basedOn w:val="Normal"/>
    <w:next w:val="BodyText"/>
    <w:uiPriority w:val="9"/>
    <w:unhideWhenUsed/>
    <w:qFormat/>
    <w:rsid w:val="0074662F"/>
    <w:pPr>
      <w:keepNext/>
      <w:keepLines/>
      <w:pageBreakBefore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background1" w:val="FFFFFF"/>
      <w:sz w:val="10"/>
    </w:rPr>
  </w:style>
  <w:style w:styleId="Heading6" w:type="paragraph">
    <w:name w:val="heading 6"/>
    <w:basedOn w:val="Normal"/>
    <w:next w:val="BodyText"/>
    <w:uiPriority w:val="9"/>
    <w:unhideWhenUsed/>
    <w:qFormat/>
    <w:rsid w:val="000E7DF5"/>
    <w:pPr>
      <w:keepNext/>
      <w:keepLines/>
      <w:spacing w:after="0" w:before="200"/>
      <w:jc w:val="center"/>
      <w:outlineLvl w:val="5"/>
    </w:pPr>
    <w:rPr>
      <w:rFonts w:ascii="Times New Roman" w:cstheme="majorBidi" w:eastAsiaTheme="majorEastAsia" w:hAnsi="Times New Roman"/>
      <w:color w:themeColor="text1" w:val="000000"/>
      <w:sz w:val="28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B122AB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7F5E62"/>
    <w:pPr>
      <w:spacing w:after="180" w:before="180" w:line="480" w:lineRule="auto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AD10C6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unhideWhenUsed/>
    <w:qFormat/>
    <w:rsid w:val="00921965"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D4ADB"/>
    <w:pPr>
      <w:keepNext/>
    </w:pPr>
    <w:rPr>
      <w:i w:val="0"/>
    </w:rPr>
  </w:style>
  <w:style w:customStyle="1" w:styleId="ImageCaption" w:type="paragraph">
    <w:name w:val="Image Caption"/>
    <w:basedOn w:val="Caption"/>
    <w:rsid w:val="00ED4ADB"/>
    <w:rPr>
      <w:i w:val="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BodyTextChar" w:type="character">
    <w:name w:val="Body Text Char"/>
    <w:basedOn w:val="DefaultParagraphFont"/>
    <w:link w:val="BodyText"/>
    <w:rsid w:val="007F5E62"/>
    <w:rPr>
      <w:rFonts w:ascii="Times New Roman" w:hAnsi="Times New Roman"/>
    </w:rPr>
  </w:style>
  <w:style w:styleId="LineNumber" w:type="character">
    <w:name w:val="line number"/>
    <w:basedOn w:val="DefaultParagraphFont"/>
    <w:semiHidden/>
    <w:unhideWhenUsed/>
    <w:rsid w:val="008E79E4"/>
  </w:style>
  <w:style w:styleId="TableGrid" w:type="table">
    <w:name w:val="Table Grid"/>
    <w:aliases w:val="Table Paper"/>
    <w:basedOn w:val="TableNormal"/>
    <w:rsid w:val="00C91552"/>
    <w:pPr>
      <w:spacing w:after="0"/>
    </w:pPr>
    <w:rPr>
      <w:rFonts w:ascii="Times New Roman" w:hAnsi="Times New Roman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A" w:type="table">
    <w:name w:val="TableA"/>
    <w:basedOn w:val="TableGrid"/>
    <w:uiPriority w:val="99"/>
    <w:rsid w:val="00FD1322"/>
    <w:rPr>
      <w:rFonts w:cs="Times New Roman (Body CS)"/>
    </w:rPr>
    <w:tblPr/>
  </w:style>
  <w:style w:styleId="PlainTable1" w:type="table">
    <w:name w:val="Plain Table 1"/>
    <w:basedOn w:val="TableNormal"/>
    <w:rsid w:val="00921965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GridTable2" w:type="table">
    <w:name w:val="Grid Table 2"/>
    <w:basedOn w:val="TableNormal"/>
    <w:rsid w:val="00921965"/>
    <w:pPr>
      <w:spacing w:after="0"/>
    </w:pPr>
    <w:tblPr>
      <w:tblStyleRowBandSize w:val="1"/>
      <w:tblStyleColBandSize w:val="1"/>
      <w:tblBorders>
        <w:top w:color="666666" w:space="0" w:sz="2" w:themeColor="text1" w:themeTint="99" w:val="single"/>
        <w:bottom w:color="666666" w:space="0" w:sz="2" w:themeColor="text1" w:themeTint="99" w:val="single"/>
        <w:insideH w:color="666666" w:space="0" w:sz="2" w:themeColor="text1" w:themeTint="99" w:val="single"/>
        <w:insideV w:color="666666" w:space="0" w:sz="2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themeColor="text1" w:themeTint="99" w:val="single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Header" w:type="paragraph">
    <w:name w:val="header"/>
    <w:basedOn w:val="Normal"/>
    <w:link w:val="Head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CE76D0"/>
  </w:style>
  <w:style w:styleId="Footer" w:type="paragraph">
    <w:name w:val="footer"/>
    <w:basedOn w:val="Normal"/>
    <w:link w:val="Foot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CE76D0"/>
  </w:style>
  <w:style w:styleId="PageNumber" w:type="character">
    <w:name w:val="page number"/>
    <w:basedOn w:val="DefaultParagraphFont"/>
    <w:semiHidden/>
    <w:unhideWhenUsed/>
    <w:rsid w:val="00CE76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mailto:kelly.clint@uqam.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kelly.clint@uqam.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147</Words>
  <Characters>686</Characters>
  <Application>Microsoft Office Word</Application>
  <DocSecurity>0</DocSecurity>
  <Lines>24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word_style_template</vt:lpstr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Material: Disentangling within- and between-female egg size–number trade-offs in the European earwig</dc:title>
  <dc:creator>Clint D. Kelly1,✉</dc:creator>
  <cp:keywords/>
  <dcterms:created xsi:type="dcterms:W3CDTF">2026-02-25T02:32:35Z</dcterms:created>
  <dcterms:modified xsi:type="dcterms:W3CDTF">2026-02-25T02:32:35Z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evolution.csl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