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Material: Disentangling within- and between-female egg size–number trade-offs in the European earwig</w:t>
      </w:r>
    </w:p>
    <w:p>
      <w:pPr>
        <w:pStyle w:val="Author"/>
      </w:pPr>
      <w:r>
        <w:t xml:space="preserve">Clint D. Kelly</w:t>
      </w:r>
      <w:r>
        <w:rPr>
          <w:vertAlign w:val="superscript"/>
        </w:rPr>
        <w:t xml:space="preserve">1,✉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Département des Sciences biologiques, Université du Québec à Montréal, Montréal, Canada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Clint D. Kelly &lt;kelly.clint@uqam.ca&gt;</w:t>
        </w:r>
      </w:hyperlink>
    </w:p>
    <w:p>
      <w:r>
        <w:br w:type="page"/>
      </w:r>
    </w:p>
    <w:bookmarkStart w:id="49" w:name="withinbetween-multivariate-model"/>
    <w:p>
      <w:pPr>
        <w:pStyle w:val="Heading1"/>
      </w:pPr>
      <w:r>
        <w:t xml:space="preserve">1. Within–between multivariate model</w:t>
      </w:r>
    </w:p>
    <w:p>
      <w:pPr>
        <w:pStyle w:val="FirstParagraph"/>
      </w:pPr>
      <w:r>
        <w:t xml:space="preserve">To partition covariance arising from within-female plasticity from covariance attributable to consistent among-female differences, I applied the within–between decomposition of van de Pol and Wright</w:t>
      </w:r>
      <w:r>
        <w:t xml:space="preserve"> </w:t>
      </w:r>
      <w:r>
        <w:t xml:space="preserve">(Pol and Wright, 2009)</w:t>
      </w:r>
      <w:r>
        <w:t xml:space="preserve">. Although mean-centering can impose assumptions about underlying biological processes</w:t>
      </w:r>
      <w:r>
        <w:t xml:space="preserve"> </w:t>
      </w:r>
      <w:r>
        <w:t xml:space="preserve">(Westneat et al., 2020)</w:t>
      </w:r>
      <w:r>
        <w:t xml:space="preserve">, these assumptions are appropriate here because the aim was to distinguish plastic allocation within females from persistent differences among females.</w:t>
      </w:r>
    </w:p>
    <w:p>
      <w:pPr>
        <w:pStyle w:val="BodyText"/>
      </w:pPr>
      <w:r>
        <w:t xml:space="preserve">Let egg number for female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brood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denoted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Egg number was decomposed as</w:t>
      </w:r>
    </w:p>
    <w:p>
      <w:pPr>
        <w:pStyle w:val="BodyText"/>
      </w:pPr>
      <w:bookmarkStart w:id="21" w:name="eq-decomposition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1"/>
    </w:p>
    <w:p>
      <w:pPr>
        <w:pStyle w:val="FirstParagraph"/>
      </w:pPr>
      <w:r>
        <w:t xml:space="preserve">The between- and within-female components were defined as</w:t>
      </w:r>
    </w:p>
    <w:p>
      <w:pPr>
        <w:pStyle w:val="BodyText"/>
      </w:pPr>
      <w:bookmarkStart w:id="22" w:name="eq-betwee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N</m:t>
              </m:r>
            </m:e>
          </m:acc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2"/>
    </w:p>
    <w:p>
      <w:pPr>
        <w:pStyle w:val="FirstParagraph"/>
      </w:pPr>
      <w:bookmarkStart w:id="23" w:name="eq-withi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3"/>
    </w:p>
    <w:bookmarkStart w:id="27" w:name="egg-number-submodel"/>
    <w:p>
      <w:pPr>
        <w:pStyle w:val="Heading2"/>
      </w:pPr>
      <w:r>
        <w:t xml:space="preserve">Egg number submodel</w:t>
      </w:r>
    </w:p>
    <w:p>
      <w:pPr>
        <w:pStyle w:val="FirstParagraph"/>
      </w:pPr>
      <w:r>
        <w:t xml:space="preserve">Egg number was modelled using a negative binomial distribution with a log link:</w:t>
      </w:r>
    </w:p>
    <w:p>
      <w:pPr>
        <w:pStyle w:val="BodyText"/>
      </w:pPr>
      <w:bookmarkStart w:id="24" w:name="eq-nb_dist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4"/>
    </w:p>
    <w:p>
      <w:pPr>
        <w:pStyle w:val="FirstParagraph"/>
      </w:pPr>
      <w:bookmarkStart w:id="25" w:name="eq-nb_link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26" w:name="eq-nb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6"/>
    </w:p>
    <w:bookmarkEnd w:id="27"/>
    <w:bookmarkStart w:id="31" w:name="mean-egg-size-submodel"/>
    <w:p>
      <w:pPr>
        <w:pStyle w:val="Heading2"/>
      </w:pPr>
      <w:r>
        <w:t xml:space="preserve">Mean egg size submodel</w:t>
      </w:r>
    </w:p>
    <w:p>
      <w:pPr>
        <w:pStyle w:val="FirstParagraph"/>
      </w:pPr>
      <w:r>
        <w:t xml:space="preserve">Mean egg size was modelled as</w:t>
      </w:r>
    </w:p>
    <w:p>
      <w:pPr>
        <w:pStyle w:val="BodyText"/>
      </w:pPr>
      <w:bookmarkStart w:id="28" w:name="eq-gauss_dist"/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</m:t>
              </m:r>
            </m:e>
          </m:d>
        </m:oMath>
      </m:oMathPara>
      <w:bookmarkEnd w:id="28"/>
    </w:p>
    <w:p>
      <w:pPr>
        <w:pStyle w:val="FirstParagraph"/>
      </w:pPr>
      <w:bookmarkStart w:id="29" w:name="eq-gauss_link"/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S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</m:e>
          </m:d>
        </m:oMath>
      </m:oMathPara>
      <w:bookmarkEnd w:id="29"/>
    </w:p>
    <w:p>
      <w:pPr>
        <w:pStyle w:val="FirstParagraph"/>
      </w:pPr>
      <w:r>
        <w:t xml:space="preserve">with</w:t>
      </w:r>
    </w:p>
    <w:p>
      <w:pPr>
        <w:pStyle w:val="BodyText"/>
      </w:pPr>
      <w:bookmarkStart w:id="30" w:name="eq-gauss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</m:e>
          </m:d>
        </m:oMath>
      </m:oMathPara>
      <w:bookmarkEnd w:id="30"/>
    </w:p>
    <w:bookmarkEnd w:id="31"/>
    <w:bookmarkStart w:id="35" w:name="multivariate-structure"/>
    <w:p>
      <w:pPr>
        <w:pStyle w:val="Heading2"/>
      </w:pPr>
      <w:r>
        <w:t xml:space="preserve">Multivariate structure</w:t>
      </w:r>
    </w:p>
    <w:p>
      <w:pPr>
        <w:pStyle w:val="FirstParagraph"/>
      </w:pPr>
      <w:r>
        <w:t xml:space="preserve">The two submodels were fit jointly:</w:t>
      </w:r>
    </w:p>
    <w:p>
      <w:pPr>
        <w:pStyle w:val="BodyText"/>
      </w:pPr>
      <w:bookmarkStart w:id="32" w:name="eq-mvn"/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M</m:t>
          </m:r>
          <m:r>
            <m:rPr>
              <m:sty m:val="p"/>
              <m:scr m:val="script"/>
            </m:rPr>
            <m:t>V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</m:oMath>
      </m:oMathPara>
      <w:bookmarkEnd w:id="32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33" w:name="eq-sigma_matrix"/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</m:t>
              </m:r>
            </m:e>
          </m:d>
        </m:oMath>
      </m:oMathPara>
      <w:bookmarkEnd w:id="33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34" w:name="eq-intercept_corr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</m:t>
              </m:r>
            </m:e>
          </m:d>
        </m:oMath>
      </m:oMathPara>
      <w:bookmarkEnd w:id="34"/>
    </w:p>
    <w:bookmarkEnd w:id="35"/>
    <w:bookmarkStart w:id="37" w:name="X0f816ef2495b00e8a187e8ee26189908fbc39c6"/>
    <w:p>
      <w:pPr>
        <w:pStyle w:val="Heading2"/>
      </w:pPr>
      <w:r>
        <w:t xml:space="preserve">Relationship between model parameters and total phenotypic covariance</w:t>
      </w:r>
    </w:p>
    <w:p>
      <w:pPr>
        <w:pStyle w:val="FirstParagraph"/>
      </w:pPr>
      <w:r>
        <w:t xml:space="preserve">Total phenotypic covariance can be partitioned as</w:t>
      </w:r>
    </w:p>
    <w:p>
      <w:pPr>
        <w:pStyle w:val="BodyText"/>
      </w:pPr>
      <w:bookmarkStart w:id="36" w:name="eq-cov_partitio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</m:t>
              </m:r>
            </m:e>
          </m:d>
        </m:oMath>
      </m:oMathPara>
      <w:bookmarkEnd w:id="36"/>
    </w:p>
    <w:bookmarkEnd w:id="37"/>
    <w:bookmarkStart w:id="39" w:name="within-female-covariance"/>
    <w:p>
      <w:pPr>
        <w:pStyle w:val="Heading2"/>
      </w:pPr>
      <w:r>
        <w:t xml:space="preserve">Within-female covariance</w:t>
      </w:r>
    </w:p>
    <w:p>
      <w:pPr>
        <w:pStyle w:val="FirstParagraph"/>
      </w:pPr>
      <w:bookmarkStart w:id="38" w:name="eq-cov_withi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14</m:t>
              </m:r>
            </m:e>
          </m:d>
        </m:oMath>
      </m:oMathPara>
      <w:bookmarkEnd w:id="38"/>
    </w:p>
    <w:bookmarkEnd w:id="39"/>
    <w:bookmarkStart w:id="43" w:name="among-female-covariance"/>
    <w:p>
      <w:pPr>
        <w:pStyle w:val="Heading2"/>
      </w:pPr>
      <w:r>
        <w:t xml:space="preserve">Among-female covariance</w:t>
      </w:r>
    </w:p>
    <w:p>
      <w:pPr>
        <w:pStyle w:val="FirstParagraph"/>
      </w:pPr>
      <w:bookmarkStart w:id="40" w:name="eq-cov_among_slop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slope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15</m:t>
              </m:r>
            </m:e>
          </m:d>
        </m:oMath>
      </m:oMathPara>
      <w:bookmarkEnd w:id="40"/>
    </w:p>
    <w:p>
      <w:pPr>
        <w:pStyle w:val="FirstParagraph"/>
      </w:pPr>
      <w:bookmarkStart w:id="41" w:name="eq-cov_among_intercept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intercept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16</m:t>
              </m:r>
            </m:e>
          </m:d>
        </m:oMath>
      </m:oMathPara>
      <w:bookmarkEnd w:id="41"/>
    </w:p>
    <w:p>
      <w:pPr>
        <w:pStyle w:val="FirstParagraph"/>
      </w:pPr>
      <w:r>
        <w:t xml:space="preserve">Total among-female covariance is therefore</w:t>
      </w:r>
    </w:p>
    <w:p>
      <w:pPr>
        <w:pStyle w:val="BodyText"/>
      </w:pPr>
      <w:bookmarkStart w:id="42" w:name="eq-cov_among_total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17</m:t>
              </m:r>
            </m:e>
          </m:d>
        </m:oMath>
      </m:oMathPara>
      <w:bookmarkEnd w:id="42"/>
    </w:p>
    <w:bookmarkEnd w:id="43"/>
    <w:bookmarkStart w:id="46" w:name="total-phenotypic-covariance"/>
    <w:p>
      <w:pPr>
        <w:pStyle w:val="Heading2"/>
      </w:pPr>
      <w:r>
        <w:t xml:space="preserve">Total phenotypic covariance</w:t>
      </w:r>
    </w:p>
    <w:p>
      <w:pPr>
        <w:pStyle w:val="FirstParagraph"/>
      </w:pPr>
      <w:r>
        <w:t xml:space="preserve">Combining components:</w:t>
      </w:r>
    </w:p>
    <w:p>
      <w:pPr>
        <w:pStyle w:val="BodyText"/>
      </w:pPr>
      <w:bookmarkStart w:id="44" w:name="eq-cov_total_expand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18</m:t>
              </m:r>
            </m:e>
          </m:d>
        </m:oMath>
      </m:oMathPara>
      <w:bookmarkEnd w:id="44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45" w:name="eq-rho_definition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19</m:t>
              </m:r>
            </m:e>
          </m:d>
        </m:oMath>
      </m:oMathPara>
      <w:bookmarkEnd w:id="45"/>
    </w:p>
    <w:bookmarkEnd w:id="46"/>
    <w:bookmarkStart w:id="48" w:name="corresponding-brms-specification"/>
    <w:p>
      <w:pPr>
        <w:pStyle w:val="Heading2"/>
      </w:pPr>
      <w:r>
        <w:t xml:space="preserve">Corresponding</w:t>
      </w:r>
      <w:r>
        <w:t xml:space="preserve"> </w:t>
      </w:r>
      <w:r>
        <w:rPr>
          <w:i/>
          <w:iCs/>
        </w:rPr>
        <w:t xml:space="preserve">brms</w:t>
      </w:r>
      <w:r>
        <w:t xml:space="preserve"> </w:t>
      </w:r>
      <w:r>
        <w:t xml:space="preserve">Specification</w:t>
      </w:r>
    </w:p>
    <w:p>
      <w:pPr>
        <w:pStyle w:val="SourceCode"/>
      </w:pPr>
      <w:r>
        <w:rPr>
          <w:rStyle w:val="NormalTok"/>
        </w:rPr>
        <w:t xml:space="preserve">bf_number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egg.number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negbinomial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bf_size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mean.egg.size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egg_number_within_z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egg_number_between_z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mv_model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bf_number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bf_size</w:t>
      </w:r>
    </w:p>
    <w:p>
      <w:r>
        <w:br w:type="page"/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1: Posterior summaries from the multivariate Bayesian mixed-effects model examining the relationship between egg number and mean egg size. The model jointly estimated a negative binomial model for egg number and a Gaussian model for egg size, including brood effects and partitioning egg number into within- and between-female components. Reported values are posterior medians and 95% credible intervals (CrI). Random effects represent among-female (ID-level) variation, and the correlation term describes the association between female intercepts for egg number and egg size. The dispersion parameter refers to the negative binomial shape parameter.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878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Brood 2 − Brood 1 (log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-0.189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Intercept (Brood 1, 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3.782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4.107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-0.024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Between-female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0.002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Within-female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Intercept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3.618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cor_id__eggnumber_Intercept__meaneggsize_Intercept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0.816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number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0.270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size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(Egg size)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0.235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Dispersion (Egg number | NegBin shape)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5.853</w:t>
                  </w:r>
                </w:p>
              </w:tc>
            </w:tr>
          </w:tbl>
          <w:bookmarkEnd w:id="47"/>
        </w:tc>
      </w:tr>
    </w:tbl>
    <w:p>
      <w:pPr>
        <w:sectPr>
          <w:pgSz w:h="11906" w:w="16838" w:orient="landscape"/>
        </w:sectPr>
      </w:pPr>
    </w:p>
    <w:bookmarkEnd w:id="48"/>
    <w:bookmarkEnd w:id="49"/>
    <w:bookmarkStart w:id="55" w:name="Xa1d38ba755028b448e0b7f415201f4bb4160237"/>
    <w:p>
      <w:pPr>
        <w:pStyle w:val="Heading1"/>
      </w:pPr>
      <w:r>
        <w:t xml:space="preserve">2. Clutch-Specific Hierarchical Model of Egg Size</w:t>
      </w:r>
    </w:p>
    <w:bookmarkStart w:id="50" w:name="statistical-model"/>
    <w:p>
      <w:pPr>
        <w:pStyle w:val="Heading2"/>
      </w:pPr>
      <w:r>
        <w:t xml:space="preserve">Statistical Model</w:t>
      </w:r>
    </w:p>
    <w:p>
      <w:pPr>
        <w:pStyle w:val="FirstParagraph"/>
      </w:pPr>
      <w:r>
        <w:t xml:space="preserve">Egg perimeter was standardized prior to analysis (mean = 0, SD = 1).</w:t>
      </w:r>
    </w:p>
    <w:p>
      <w:pPr>
        <w:pStyle w:val="BodyText"/>
      </w:pPr>
      <w:r>
        <w:t xml:space="preserve">For female</w:t>
      </w:r>
      <w:r>
        <w:t xml:space="preserve"> </w:t>
      </w:r>
      <m:oMath>
        <m:r>
          <m:t>i</m:t>
        </m:r>
      </m:oMath>
      <w:r>
        <w:t xml:space="preserve">, egg</w:t>
      </w:r>
      <w:r>
        <w:t xml:space="preserve"> </w:t>
      </w:r>
      <m:oMath>
        <m:r>
          <m:t>j</m:t>
        </m:r>
      </m:oMath>
      <w:r>
        <w:t xml:space="preserve">, and brood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standardized egg size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b</m:t>
            </m:r>
          </m:sub>
        </m:sSub>
      </m:oMath>
      <w:r>
        <w:t xml:space="preserve"> </w:t>
      </w:r>
      <w:r>
        <w:t xml:space="preserve">was modeled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b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The conditional mean structure was: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  <m:r>
                <m:t>j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egg size in clutch 1 (reference level),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fixed difference between clutch 2 and clutch 1,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i</m:t>
            </m:r>
            <m:r>
              <m:t>b</m:t>
            </m:r>
          </m:sub>
        </m:sSub>
      </m:oMath>
      <w:r>
        <w:t xml:space="preserve"> </w:t>
      </w:r>
      <w:r>
        <w:t xml:space="preserve">is the female-specific deviation for clutch</w:t>
      </w:r>
      <w:r>
        <w:t xml:space="preserve"> </w:t>
      </w:r>
      <m:oMath>
        <m:r>
          <m:t>b</m:t>
        </m:r>
      </m:oMath>
      <w:r>
        <w:t xml:space="preserve">.</w:t>
      </w:r>
    </w:p>
    <w:bookmarkEnd w:id="50"/>
    <w:bookmarkStart w:id="51" w:name="random-effects-structure"/>
    <w:p>
      <w:pPr>
        <w:pStyle w:val="Heading2"/>
      </w:pPr>
      <w:r>
        <w:t xml:space="preserve">Random Effects Structure</w:t>
      </w:r>
    </w:p>
    <w:p>
      <w:pPr>
        <w:pStyle w:val="FirstParagraph"/>
      </w:pPr>
      <w:r>
        <w:t xml:space="preserve">Clutch-specific female deviations were modeled as a correlated bivariate normal vector: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M</m:t>
          </m:r>
          <m:r>
            <m:rPr>
              <m:sty m:val="p"/>
              <m:scr m:val="script"/>
            </m:rPr>
            <m:t>V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Σ</m:t>
              </m:r>
            </m:e>
          </m:d>
        </m:oMath>
      </m:oMathPara>
    </w:p>
    <w:p>
      <w:pPr>
        <w:pStyle w:val="FirstParagraph"/>
      </w:pPr>
      <w:r>
        <w:t xml:space="preserve">with variance–covariance matrix: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ρ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ρ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Here:</w:t>
      </w:r>
    </w:p>
    <w:p>
      <w:pPr>
        <w:pStyle w:val="Compact"/>
        <w:numPr>
          <w:ilvl w:val="0"/>
          <w:numId w:val="1002"/>
        </w:numPr>
      </w:pPr>
      <m:oMath>
        <m:sSubSup>
          <m:e>
            <m:r>
              <m:t>τ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the among-female variances in clutches 1 and 2, respectively,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is the correlation between female deviations across clutches.</w:t>
      </w:r>
    </w:p>
    <w:p>
      <w:pPr>
        <w:pStyle w:val="FirstParagraph"/>
      </w:pPr>
      <w:r>
        <w:t xml:space="preserve">Importantly, no clutch-independent random intercept was estimated. The model includes only clutch-specific female deviations (i.e., random slopes of clutch within female), corresponding to the specification</w:t>
      </w:r>
      <w:r>
        <w:t xml:space="preserve"> </w:t>
      </w:r>
      <w:r>
        <w:rPr>
          <w:rStyle w:val="VerbatimChar"/>
        </w:rPr>
        <w:t xml:space="preserve">(0 + brood_factor | 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brms</w:t>
      </w:r>
      <w:r>
        <w:t xml:space="preserve">.</w:t>
      </w:r>
    </w:p>
    <w:bookmarkEnd w:id="51"/>
    <w:bookmarkStart w:id="52" w:name="residual-variance-model"/>
    <w:p>
      <w:pPr>
        <w:pStyle w:val="Heading2"/>
      </w:pPr>
      <w:r>
        <w:t xml:space="preserve">Residual Variance Model</w:t>
      </w:r>
    </w:p>
    <w:p>
      <w:pPr>
        <w:pStyle w:val="FirstParagraph"/>
      </w:pPr>
      <w:r>
        <w:t xml:space="preserve">Residual variance was allowed to differ between clutches: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 variance in clutch 1,</w:t>
      </w:r>
      <w:r>
        <w:br/>
      </w:r>
    </w:p>
    <w:p>
      <w:pPr>
        <w:pStyle w:val="Compact"/>
        <w:numPr>
          <w:ilvl w:val="0"/>
          <w:numId w:val="1003"/>
        </w:numPr>
      </w:pP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 variance in clutch 2.</w:t>
      </w:r>
    </w:p>
    <w:p>
      <w:pPr>
        <w:pStyle w:val="FirstParagraph"/>
      </w:pPr>
      <w:r>
        <w:t xml:space="preserve">The log link ensures that residual standard deviations remain positive.</w:t>
      </w:r>
    </w:p>
    <w:bookmarkEnd w:id="52"/>
    <w:bookmarkStart w:id="54" w:name="corresponding-brms-specification-1"/>
    <w:p>
      <w:pPr>
        <w:pStyle w:val="Heading2"/>
      </w:pPr>
      <w:r>
        <w:t xml:space="preserve">Corresponding</w:t>
      </w:r>
      <w:r>
        <w:t xml:space="preserve"> </w:t>
      </w:r>
      <w:r>
        <w:rPr>
          <w:i/>
          <w:iCs/>
        </w:rPr>
        <w:t xml:space="preserve">brms</w:t>
      </w:r>
      <w:r>
        <w:t xml:space="preserve"> </w:t>
      </w:r>
      <w:r>
        <w:t xml:space="preserve">Specification</w:t>
      </w:r>
    </w:p>
    <w:p>
      <w:pPr>
        <w:pStyle w:val="SourceCode"/>
      </w:pP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(mean.perim)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brood_factor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brood_factor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sigma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brood_factor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2: Posterior medians and 95% credible intervals from a Bayesian mixed model of scaled egg perimeter, including clutch-specific means, clutch-specific female-level random effects, and clutch-specific residual variance.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552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-0.535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-0.827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-0.246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0.530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Correlation (Brood 1, 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1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0.982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0.471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2)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0.616</w:t>
                  </w:r>
                </w:p>
              </w:tc>
            </w:tr>
          </w:tbl>
          <w:bookmarkEnd w:id="53"/>
        </w:tc>
      </w:tr>
    </w:tbl>
    <w:p>
      <w:r>
        <w:br w:type="page"/>
      </w:r>
    </w:p>
    <w:bookmarkEnd w:id="54"/>
    <w:bookmarkEnd w:id="55"/>
    <w:bookmarkStart w:id="59" w:name="references"/>
    <w:p>
      <w:pPr>
        <w:pStyle w:val="Heading1"/>
      </w:pPr>
      <w:r>
        <w:t xml:space="preserve">References</w:t>
      </w:r>
    </w:p>
    <w:bookmarkStart w:id="58" w:name="refs"/>
    <w:bookmarkStart w:id="56" w:name="ref-vandepol2009"/>
    <w:p>
      <w:pPr>
        <w:pStyle w:val="Bibliography"/>
      </w:pPr>
      <w:r>
        <w:t xml:space="preserve">Pol, M. van de, Wright, J., 2009. A simple method for distinguishing within- versus between-subject effects using mixed models.</w:t>
      </w:r>
      <w:r>
        <w:t xml:space="preserve"> </w:t>
      </w:r>
      <w:r>
        <w:rPr>
          <w:i/>
          <w:iCs/>
        </w:rPr>
        <w:t xml:space="preserve">Anim Behav</w:t>
      </w:r>
      <w:r>
        <w:t xml:space="preserve"> </w:t>
      </w:r>
      <w:r>
        <w:rPr>
          <w:b/>
          <w:bCs/>
        </w:rPr>
        <w:t xml:space="preserve">77</w:t>
      </w:r>
      <w:r>
        <w:t xml:space="preserve">, 753–758.</w:t>
      </w:r>
    </w:p>
    <w:bookmarkEnd w:id="56"/>
    <w:bookmarkStart w:id="57" w:name="ref-westneat2020"/>
    <w:p>
      <w:pPr>
        <w:pStyle w:val="Bibliography"/>
      </w:pPr>
      <w:r>
        <w:t xml:space="preserve">Westneat, D.F., Araya-Ajoy, Y.G., Allegue, H., Class, B., Dingemanse, N., Dochtermann, N.A., Garamszegi, L.Z., Martin, J.G.A., Nakagawa, S., Réale, D., Schielzeth, H., 2020. Collision between biological process and statistical analysis revealed by mean centring.</w:t>
      </w:r>
      <w:r>
        <w:t xml:space="preserve"> </w:t>
      </w:r>
      <w:r>
        <w:rPr>
          <w:i/>
          <w:iCs/>
        </w:rPr>
        <w:t xml:space="preserve">J Anim Ecol</w:t>
      </w:r>
      <w:r>
        <w:t xml:space="preserve"> </w:t>
      </w:r>
      <w:r>
        <w:rPr>
          <w:b/>
          <w:bCs/>
        </w:rPr>
        <w:t xml:space="preserve">89</w:t>
      </w:r>
      <w:r>
        <w:t xml:space="preserve">, 2813–2824.</w:t>
      </w:r>
    </w:p>
    <w:bookmarkEnd w:id="57"/>
    <w:bookmarkEnd w:id="58"/>
    <w:bookmarkEnd w:id="59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B0BD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0509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E03BB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32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hyperlink" Id="rId20" Target="mailto:kelly.clint@uqam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elly.clint@uqam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147</Words>
  <Characters>686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Disentangling within- and between-female egg size–number trade-offs in the European earwig</dc:title>
  <dc:creator>Clint D. Kelly1,✉</dc:creator>
  <cp:keywords/>
  <dcterms:created xsi:type="dcterms:W3CDTF">2026-02-26T15:32:21Z</dcterms:created>
  <dcterms:modified xsi:type="dcterms:W3CDTF">2026-02-26T15:32:21Z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current-zoology.csl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