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4.jpg" ContentType="image/jpeg"/>
  <Override PartName="/word/media/rId7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within- and between-female egg size–number trade-offs in the European earwig.</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a trade-off between offspring size and number, yet empirical studies often fail to detect the expected negative association. This discrepancy may arise because phenotypic correlations conflate variation in resource acquisition with variation in allocation strategy. Using repeated measures of female European earwigs (</w:t>
      </w:r>
      <w:r>
        <w:rPr>
          <w:i/>
          <w:iCs/>
        </w:rPr>
        <w:t xml:space="preserve">Forficula auricularia</w:t>
      </w:r>
      <w:r>
        <w:t xml:space="preserve">), I partitioned covariance between egg size and egg number into among- and within-female components using Bayesian mixed models. The raw phenotypic correlation was near zero. However, females that produced more eggs on average laid smaller eggs, revealing a moderate negative among-female association consistent with an allocation trade-off. In contrast, there was no detectable within-female covariance once clutch order was accounted for. Egg number repeatability was effectively zero, indicating that clutch size varied primarily within rather than among females, whereas egg size was highly repeatable. Both egg number and egg size declined in second clutches, and within-clutch egg-size variance increased, suggesting a reproductive constraint (i.e. fewer functional variables) under diminished resource state. Together, these results show that the size–number trade-off is expressed primarily among females through consistent differences in allocation strategy, while clutch size itself is labile. By disentangling hierarchical sources of variation, this study demonstrates that allocation trade-offs can remain hidden at the phenotypic level and that evolutionary constraints operate through stable allocation rules rather than flexible clutch-size adjustment..</w:t>
      </w:r>
    </w:p>
    <w:p>
      <w:r>
        <w:br w:type="page"/>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Because energy and time are limited, investment in one trait constrains investment in others</w:t>
      </w:r>
      <w:r>
        <w:t xml:space="preserve"> </w:t>
      </w:r>
      <w:r>
        <w:t xml:space="preserve">(Stearns 1992; Roff 1992)</w:t>
      </w:r>
      <w:r>
        <w:t xml:space="preserve">. A central expression of this principle is the offspring size–number trade-off: for a given reproductive budget, producing larger offspring reduces the number that can be produced</w:t>
      </w:r>
      <w:r>
        <w:t xml:space="preserve"> </w:t>
      </w:r>
      <w:r>
        <w:t xml:space="preserve">(Smith and Fretwell 1974; Parker 1982)</w:t>
      </w:r>
      <w:r>
        <w:t xml:space="preserve">. Since larger eggs often enhance offspring performance and survival</w:t>
      </w:r>
      <w:r>
        <w:t xml:space="preserve"> </w:t>
      </w:r>
      <w:r>
        <w:t xml:space="preserve">(Clutton-Brock 1991)</w:t>
      </w:r>
      <w:r>
        <w:t xml:space="preserve">, selection is expected to favour an optimal balance between egg size and egg number that maximises maternal fitness. Yet empirical tests of the size–number trade-off often fail to reveal the expected negative relationship. Across individuals within populations, egg size and egg number are often positively correlated</w:t>
      </w:r>
      <w:r>
        <w:t xml:space="preserve"> </w:t>
      </w:r>
      <w:r>
        <w:t xml:space="preserve">(Roff 1992; Bernardo 1996; Fox and Czesak 2000; Hargitai et al. 2005)</w:t>
      </w:r>
      <w:r>
        <w:t xml:space="preserve">. This apparent contradiction arises because phenotypic correlations conflate two distinct biological processes: variation in resource acquisition and variation in allocation strategy. Van Noordwijk and De Jong</w:t>
      </w:r>
      <w:r>
        <w:t xml:space="preserve"> </w:t>
      </w:r>
      <w:r>
        <w:t xml:space="preserve">(1986)</w:t>
      </w:r>
      <w:r>
        <w:t xml:space="preserve"> </w:t>
      </w:r>
      <w:r>
        <w:t xml:space="preserve">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w:t>
      </w:r>
      <w:r>
        <w:t xml:space="preserve"> </w:t>
      </w:r>
      <w:r>
        <w:t xml:space="preserve">(Simpson 1951)</w:t>
      </w:r>
      <w:r>
        <w:t xml:space="preserve">.</w:t>
      </w:r>
    </w:p>
    <w:p>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w:t>
      </w:r>
      <w:r>
        <w:t xml:space="preserve"> </w:t>
      </w:r>
      <w:r>
        <w:t xml:space="preserve">(Careau and Wilson 2017)</w:t>
      </w:r>
      <w:r>
        <w:t xml:space="preserve">.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w:t>
      </w:r>
      <w:r>
        <w:t xml:space="preserve"> </w:t>
      </w:r>
      <w:r>
        <w:t xml:space="preserve">(2017)</w:t>
      </w:r>
      <w:r>
        <w:t xml:space="preserve"> </w:t>
      </w:r>
      <w:r>
        <w:t xml:space="preserve">argue that only by decomposing covariance into these components using multivariate mixed models can we determine whether allocation trade-offs operate within individuals despite positive population-level associations.</w:t>
      </w:r>
      <w:r>
        <w:t xml:space="preserve"> </w:t>
      </w:r>
      <w:r>
        <w:t xml:space="preserve">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pPr>
        <w:pStyle w:val="BodyText"/>
      </w:pPr>
      <w:r>
        <w:t xml:space="preserve">Despite the foundational importance of the size–number trade-off, no studies have explicitly applied this framework to test whether positive phenotypic correlations conceal negative within-individual allocation trade-offs. Here, I address this gap using the European earwig,</w:t>
      </w:r>
      <w:r>
        <w:t xml:space="preserve"> </w:t>
      </w:r>
      <w:r>
        <w:rPr>
          <w:i/>
          <w:iCs/>
        </w:rPr>
        <w:t xml:space="preserve">Forficula auriculari</w:t>
      </w:r>
      <w:r>
        <w:t xml:space="preserve">, a species that allows repeated measures of reproductive investment within females but whose pattern of allocation to egg number and size is unclear</w:t>
      </w:r>
      <w:r>
        <w:t xml:space="preserve"> </w:t>
      </w:r>
      <w:r>
        <w:t xml:space="preserve">(Koch and Meunier 2014)</w:t>
      </w:r>
      <w:r>
        <w:t xml:space="preserve">. Female earwigs lay a clutch within a short temporal window in a subterranean burrow</w:t>
      </w:r>
      <w:r>
        <w:t xml:space="preserve"> </w:t>
      </w:r>
      <w:r>
        <w:t xml:space="preserve">(Meunier 2024)</w:t>
      </w:r>
      <w:r>
        <w:t xml:space="preserve"> </w:t>
      </w:r>
      <w:r>
        <w:t xml:space="preserve">and provide extended maternal care</w:t>
      </w:r>
      <w:r>
        <w:t xml:space="preserve"> </w:t>
      </w:r>
      <w:r>
        <w:t xml:space="preserve">(Staerkle and Kölliker 2008; Meunier 2024)</w:t>
      </w:r>
      <w:r>
        <w:t xml:space="preserve">. In Quebec populations, environmental constraints typically render females effectively semelparous</w:t>
      </w:r>
      <w:r>
        <w:t xml:space="preserve"> </w:t>
      </w:r>
      <w:r>
        <w:t xml:space="preserve">(Tourneur 2018)</w:t>
      </w:r>
      <w:r>
        <w:t xml:space="preserve">, but under favourable laboratory conditions, they can produce a second clutch. This system, therefore, enables direct estimation of within-female covariance across successive reproductive bouts. I test three predictions derived from acquisition–allocation theory</w:t>
      </w:r>
      <w:r>
        <w:t xml:space="preserve"> </w:t>
      </w:r>
      <w:r>
        <w:t xml:space="preserve">(Van Noordwijk and Jong 1986; see also Reznick et al. 2000)</w:t>
      </w:r>
      <w:r>
        <w:t xml:space="preserve">.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w:t>
      </w:r>
      <w:r>
        <w:t xml:space="preserve"> </w:t>
      </w:r>
      <w:r>
        <w:t xml:space="preserve">(Smith and Fretwell 1974)</w:t>
      </w:r>
      <w:r>
        <w:t xml:space="preserve">, then one trait should remain relatively invariant across clutches while the other adjusts between reproductive bouts</w:t>
      </w:r>
      <w:r>
        <w:t xml:space="preserve"> </w:t>
      </w:r>
      <w:r>
        <w:t xml:space="preserve">(Winkler and Wallin 1987)</w:t>
      </w:r>
      <w:r>
        <w:t xml:space="preserve">. Third, if reproductive investment is structured differently across bouts, then variance in egg size may differ between first and second clutches at both the among-female and within-clutch levels</w:t>
      </w:r>
      <w:r>
        <w:t xml:space="preserve"> </w:t>
      </w:r>
      <w:r>
        <w:t xml:space="preserve">(e.g. Hargitai et al. 2005)</w:t>
      </w:r>
      <w:r>
        <w:t xml:space="preserve">, providing further insight into how selection shapes the distribution of maternal investment across reproductive events.</w:t>
      </w:r>
    </w:p>
    <w:p>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by finite resources. In this way, my study assesses not only the presence of a trade-off but also the hierarchical structure through which life-history constraints are articulated.</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w:t>
      </w:r>
      <w:r>
        <w:t xml:space="preserve"> </w:t>
      </w:r>
      <w:r>
        <w:t xml:space="preserve">(Honek 1993)</w:t>
      </w:r>
      <w:r>
        <w:t xml:space="preserve"> </w:t>
      </w:r>
      <w:r>
        <w:t xml:space="preserve">and could thus possibly explain a postive among-female covariance between egg number and size I measured to proxies of size, pronotumlength and body mass. Females were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to the nearest 0.001 mm three times, with each measurement separated by 4 days. I used the same procedure to measure the perimeter of each egg.</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w:t>
      </w:r>
    </w:p>
    <w:p>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w:t>
      </w:r>
      <w:r>
        <w:t xml:space="preserve"> </w:t>
      </w:r>
      <w:r>
        <w:t xml:space="preserve">(R Core Team 2025)</w:t>
      </w:r>
      <w:r>
        <w:t xml:space="preserve">. The first principal component (PC1) explained 60.8% of the total variance and was used as an index of structural body size. In addition, female body condition was estimated using the scaled mass index (SMI) following Peig and Green</w:t>
      </w:r>
      <w:r>
        <w:t xml:space="preserve"> </w:t>
      </w:r>
      <w:r>
        <w:t xml:space="preserve">(2009, 2010; see also Kelly et al. 2014)</w:t>
      </w:r>
      <w:r>
        <w:t xml:space="preserve">, which standardizes body mass relative to structural size (pronotum length).</w:t>
      </w:r>
    </w:p>
    <w:p>
      <w:pPr>
        <w:pStyle w:val="BodyText"/>
      </w:pPr>
      <w:r>
        <w:t xml:space="preserve">We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within-clutch variation, and residual effects. Consequently, raw phenotypic correlations provide a descriptive estimate of overall trait associations but do not distinguish whether covariation arises from stable female differences or from within-clutch processes.</w:t>
      </w:r>
    </w:p>
    <w:p>
      <w:pPr>
        <w:pStyle w:val="BodyText"/>
      </w:pPr>
      <w:r>
        <w:t xml:space="preserve">To distinguish covariance arising from within-female plasticity from covariance attributable to consistent among-female differences, I followed the within–between decomposition approach of van de Pol and Wright (2009). For focal predictors that varied across clutches, each trait was decomposed into two components. The within-female component represented the deviation of each observation from that female’s own mean value, thereby capturing clutch-level deviations within individuals. The between-female component represented each female’s mean value relative to the population mean, capturing stable differences among females. Although mean-centering has been shown to impose assumptions about underlying biological processes (Westneat et al. 2020), these assumptions are appropriate here because the biological question concerns how reproductive allocation varies within females across clutches versus how females differ consistently in allocation strategy.</w:t>
      </w:r>
      <w:r>
        <w:t xml:space="preserve"> </w:t>
      </w:r>
      <w:r>
        <w:t xml:space="preserve">I fitted a Bayesian multivariate mixed-effects model in which multiple reproductive traits were modelled jointly. Continuous response variables were modelled assuming Gaussian error distributions with identity link functions, whereas count responses were modelled using negative binomial error distributions to account for overdispersion. The within- and between-female components of focal predictors were included simultaneously as fixed effects. Female identity was included as a random intercept across response variables, allowing estimation of among-female variance for each trait as well as covariance among traits at the female level. This multivariate framework partitions total phenotypic covariance into covariance attributable to consistent differences among females and covariance arising from within-female deviations across clutches.</w:t>
      </w:r>
    </w:p>
    <w:p>
      <w:pPr>
        <w:pStyle w:val="BodyText"/>
      </w:pPr>
      <w:r>
        <w:t xml:space="preserve">Within this model, the coefficient associated with the within-female component estimates the plastic response of a trait to clutch-level deviations in the predictor, whereas the coefficient associated with the between-female component estimates the among-female (strategic) association between traits. Because traits were modelled jointly, covariance among traits was estimated simultaneously at both the female and residual levels, thereby accounting for non-independence among reproductive traits and providing biologically interpretable estimates of trait correlations at each hierarchical level.</w:t>
      </w:r>
    </w:p>
    <w:p>
      <w:pPr>
        <w:pStyle w:val="BodyText"/>
      </w:pPr>
      <w:r>
        <w:t xml:space="preserve">Continuous predictors were standardized by centering on their mean and scaling by their standard deviation prior to analysis. The within- and between-female components were each standardized using the mean and standard deviation of their respective distributions. When estimating standardized regression coefficients, response variables were also scaled to have a standard deviation of one. Standardized coefficients therefore represent the expected change in the response trait, measured in standard deviation units, associated with a one standard deviation change in the predictor, facilitating comparison of effect sizes across traits measured on different scales.</w:t>
      </w:r>
    </w:p>
    <w:p>
      <w:pPr>
        <w:pStyle w:val="BodyText"/>
      </w:pPr>
      <w:r>
        <w:t xml:space="preserve">To quantify the structure of egg size variation specifically, we fitted a univariate mixed-effects model in which egg size (standardised mean egg perimeter) was modelled as a Gaussian response with female identity included as a random intercept. This formulation partitions total phenotypic variance in egg size into variance attributable to differences among females and variance occurring within females among eggs within clutches. The among-female variance component represents consistent maternal differences in allocation to egg size, whereas the within-female component captures heterogeneity in provisioning within clutches as well as residual variation.</w:t>
      </w:r>
    </w:p>
    <w:p>
      <w:pPr>
        <w:pStyle w:val="BodyText"/>
      </w:pPr>
      <w:r>
        <w:t xml:space="preserve">Repeatability was estimated separately for each trait. Repeatability for egg size was derived from the univariate variance-partitioning model. For egg number, which was modelled under a negative binomial distribution within the multivariate framework, repeatability was calculated from the corresponding variance components of that model. Repeatability was estimated as the proportion of total phenotypic variance attributable to consistent differences among females. For both traits, repeatability was calculated from posterior samples of variance components, and uncertainty was quantified using 95% credible intervals. Because egg number was modelled using a negative binomial distribution, repeatability was calculated explicitly on the observation scale, ensuring that distribution-specific variance was included in the denominator. For egg size, which was modelled under a Gaussian error distribution, total phenotypic variance is the sum of among-female variance and residual variance. Observation-scale repeatability for egg size was therefore calculated as:</w:t>
      </w:r>
    </w:p>
    <w:p>
      <w:pPr>
        <w:pStyle w:val="BodyText"/>
      </w:pPr>
      <m:oMathPara>
        <m:oMathParaPr>
          <m:jc m:val="center"/>
        </m:oMathParaPr>
        <m:oMath>
          <m:sSub>
            <m:e>
              <m:r>
                <m:t>R</m:t>
              </m:r>
            </m:e>
            <m:sub>
              <m:r>
                <m:rPr>
                  <m:nor/>
                  <m:sty m:val="p"/>
                </m:rPr>
                <m:t>egg size</m:t>
              </m:r>
            </m:sub>
          </m:sSub>
          <m:r>
            <m:rPr>
              <m:sty m:val="p"/>
            </m:rPr>
            <m:t>=</m:t>
          </m:r>
          <m:f>
            <m:fPr>
              <m:type m:val="bar"/>
            </m:fPr>
            <m:num>
              <m:sSub>
                <m:e>
                  <m:r>
                    <m:t>V</m:t>
                  </m:r>
                </m:e>
                <m:sub>
                  <m:r>
                    <m:t>F</m:t>
                  </m:r>
                </m:sub>
              </m:sSub>
            </m:num>
            <m:den>
              <m:sSub>
                <m:e>
                  <m:r>
                    <m:t>V</m:t>
                  </m:r>
                </m:e>
                <m:sub>
                  <m:r>
                    <m:t>F</m:t>
                  </m:r>
                </m:sub>
              </m:sSub>
              <m:r>
                <m:rPr>
                  <m:sty m:val="p"/>
                </m:rPr>
                <m:t>+</m:t>
              </m:r>
              <m:sSub>
                <m:e>
                  <m:r>
                    <m:t>V</m:t>
                  </m:r>
                </m:e>
                <m:sub>
                  <m:r>
                    <m:t>R</m:t>
                  </m:r>
                </m:sub>
              </m:sSub>
            </m:den>
          </m:f>
        </m:oMath>
      </m:oMathPara>
    </w:p>
    <w:p>
      <w:pPr>
        <w:pStyle w:val="FirstParagraph"/>
      </w:pPr>
      <w:r>
        <w:t xml:space="preserve">where</w:t>
      </w:r>
      <w:r>
        <w:t xml:space="preserve"> </w:t>
      </w:r>
      <m:oMath>
        <m:sSub>
          <m:e>
            <m:r>
              <m:t>V</m:t>
            </m:r>
          </m:e>
          <m:sub>
            <m:r>
              <m:t>F</m:t>
            </m:r>
          </m:sub>
        </m:sSub>
      </m:oMath>
      <w:r>
        <w:t xml:space="preserve"> </w:t>
      </w:r>
      <w:r>
        <w:t xml:space="preserve">is the among-female variance (i.e., variance of the female random intercept) and</w:t>
      </w:r>
      <w:r>
        <w:t xml:space="preserve"> </w:t>
      </w:r>
      <m:oMath>
        <m:sSub>
          <m:e>
            <m:r>
              <m:t>V</m:t>
            </m:r>
          </m:e>
          <m:sub>
            <m:r>
              <m:t>R</m:t>
            </m:r>
          </m:sub>
        </m:sSub>
      </m:oMath>
      <w:r>
        <w:t xml:space="preserve"> </w:t>
      </w:r>
      <w:r>
        <w:t xml:space="preserve">is the residual variance. Because the Gaussian model is parameterized directly on the observation scale, this formulation corresponds to both latent- and observation-scale repeatability.</w:t>
      </w:r>
      <w:r>
        <w:t xml:space="preserve"> </w:t>
      </w:r>
      <w:r>
        <w:t xml:space="preserve">For egg number, which was modelled using a negative binomial distribution, the variance depends on both the mean and the dispersion (shape) parameter. Under the negative binomial parameterization used in brms, the observation-level variance is given by:</w:t>
      </w:r>
    </w:p>
    <w:p>
      <w:pPr>
        <w:pStyle w:val="BodyText"/>
      </w:pPr>
      <m:oMathPara>
        <m:oMathParaPr>
          <m:jc m:val="center"/>
        </m:oMathParaPr>
        <m:oMath>
          <m:r>
            <m:rPr>
              <m:sty m:val="p"/>
            </m:rPr>
            <m:t>V</m:t>
          </m:r>
          <m:r>
            <m:rPr>
              <m:sty m:val="p"/>
            </m:rPr>
            <m:t>a</m:t>
          </m:r>
          <m:r>
            <m:rPr>
              <m:sty m:val="p"/>
            </m:rPr>
            <m:t>r</m:t>
          </m:r>
          <m:d>
            <m:dPr>
              <m:begChr m:val="("/>
              <m:sepChr m:val=""/>
              <m:endChr m:val=")"/>
              <m:grow/>
            </m:dPr>
            <m:e>
              <m:r>
                <m:t>Y</m:t>
              </m:r>
            </m:e>
          </m:d>
          <m:r>
            <m:rPr>
              <m:sty m:val="p"/>
            </m:rPr>
            <m:t>=</m:t>
          </m:r>
          <m:r>
            <m:t>μ</m:t>
          </m:r>
          <m:r>
            <m:rPr>
              <m:sty m:val="p"/>
            </m:rPr>
            <m:t>+</m:t>
          </m:r>
          <m:f>
            <m:fPr>
              <m:type m:val="bar"/>
            </m:fPr>
            <m:num>
              <m:sSup>
                <m:e>
                  <m:r>
                    <m:t>μ</m:t>
                  </m:r>
                </m:e>
                <m:sup>
                  <m:r>
                    <m:t>2</m:t>
                  </m:r>
                </m:sup>
              </m:sSup>
            </m:num>
            <m:den>
              <m:r>
                <m:t>θ</m:t>
              </m:r>
            </m:den>
          </m:f>
        </m:oMath>
      </m:oMathPara>
    </w:p>
    <w:p>
      <w:pPr>
        <w:pStyle w:val="FirstParagraph"/>
      </w:pPr>
      <w:r>
        <w:t xml:space="preserve">where</w:t>
      </w:r>
      <w:r>
        <w:t xml:space="preserve"> </w:t>
      </w:r>
      <m:oMath>
        <m:r>
          <m:t>μ</m:t>
        </m:r>
      </m:oMath>
      <w:r>
        <w:t xml:space="preserve"> </w:t>
      </w:r>
      <w:r>
        <w:t xml:space="preserve">is the expected mean egg number and</w:t>
      </w:r>
      <w:r>
        <w:t xml:space="preserve"> </w:t>
      </w:r>
      <m:oMath>
        <m:r>
          <m:t>θ</m:t>
        </m:r>
      </m:oMath>
      <w:r>
        <w:t xml:space="preserve"> </w:t>
      </w:r>
      <w:r>
        <w:t xml:space="preserve">is the dispersion (shape) parameter. Observation-scale repeatability for egg number was therefore calculated as:</w:t>
      </w:r>
    </w:p>
    <w:p>
      <w:pPr>
        <w:pStyle w:val="BodyText"/>
      </w:pPr>
      <m:oMathPara>
        <m:oMathParaPr>
          <m:jc m:val="center"/>
        </m:oMathParaPr>
        <m:oMath>
          <m:sSub>
            <m:e>
              <m:r>
                <m:t>R</m:t>
              </m:r>
            </m:e>
            <m:sub>
              <m:r>
                <m:rPr>
                  <m:nor/>
                  <m:sty m:val="p"/>
                </m:rPr>
                <m:t>egg number</m:t>
              </m:r>
            </m:sub>
          </m:sSub>
          <m:r>
            <m:rPr>
              <m:sty m:val="p"/>
            </m:rPr>
            <m:t>=</m:t>
          </m:r>
          <m:f>
            <m:fPr>
              <m:type m:val="bar"/>
            </m:fPr>
            <m:num>
              <m:sSub>
                <m:e>
                  <m:r>
                    <m:t>V</m:t>
                  </m:r>
                </m:e>
                <m:sub>
                  <m:r>
                    <m:t>F</m:t>
                  </m:r>
                </m:sub>
              </m:sSub>
            </m:num>
            <m:den>
              <m:sSub>
                <m:e>
                  <m:r>
                    <m:t>V</m:t>
                  </m:r>
                </m:e>
                <m:sub>
                  <m:r>
                    <m:t>F</m:t>
                  </m:r>
                </m:sub>
              </m:sSub>
              <m:r>
                <m:rPr>
                  <m:sty m:val="p"/>
                </m:rPr>
                <m:t>+</m:t>
              </m:r>
              <m:d>
                <m:dPr>
                  <m:begChr m:val="("/>
                  <m:sepChr m:val=""/>
                  <m:endChr m:val=")"/>
                  <m:grow/>
                </m:dPr>
                <m:e>
                  <m:r>
                    <m:t>μ</m:t>
                  </m:r>
                  <m:r>
                    <m:rPr>
                      <m:sty m:val="p"/>
                    </m:rPr>
                    <m:t>+</m:t>
                  </m:r>
                  <m:f>
                    <m:fPr>
                      <m:type m:val="bar"/>
                    </m:fPr>
                    <m:num>
                      <m:sSup>
                        <m:e>
                          <m:r>
                            <m:t>μ</m:t>
                          </m:r>
                        </m:e>
                        <m:sup>
                          <m:r>
                            <m:t>2</m:t>
                          </m:r>
                        </m:sup>
                      </m:sSup>
                    </m:num>
                    <m:den>
                      <m:r>
                        <m:t>θ</m:t>
                      </m:r>
                    </m:den>
                  </m:f>
                </m:e>
              </m:d>
            </m:den>
          </m:f>
        </m:oMath>
      </m:oMathPara>
    </w:p>
    <w:p>
      <w:pPr>
        <w:pStyle w:val="FirstParagraph"/>
      </w:pPr>
      <w:r>
        <w:t xml:space="preserve">where</w:t>
      </w:r>
      <w:r>
        <w:t xml:space="preserve"> </w:t>
      </w:r>
      <m:oMath>
        <m:sSub>
          <m:e>
            <m:r>
              <m:t>V</m:t>
            </m:r>
          </m:e>
          <m:sub>
            <m:r>
              <m:t>F</m:t>
            </m:r>
          </m:sub>
        </m:sSub>
      </m:oMath>
      <w:r>
        <w:t xml:space="preserve"> </w:t>
      </w:r>
      <w:r>
        <w:t xml:space="preserve">is the among-female variance estimated from the random intercept. The distribution-specific variance term</w:t>
      </w:r>
      <w:r>
        <w:t xml:space="preserve"> </w:t>
      </w:r>
      <m:oMath>
        <m:r>
          <m:t>μ</m:t>
        </m:r>
        <m:r>
          <m:rPr>
            <m:sty m:val="p"/>
          </m:rPr>
          <m:t>+</m:t>
        </m:r>
        <m:sSup>
          <m:e>
            <m:r>
              <m:t>μ</m:t>
            </m:r>
          </m:e>
          <m:sup>
            <m:r>
              <m:t>2</m:t>
            </m:r>
          </m:sup>
        </m:sSup>
        <m:r>
          <m:rPr>
            <m:sty m:val="p"/>
          </m:rPr>
          <m:t>/</m:t>
        </m:r>
        <m:r>
          <m:t>θ</m:t>
        </m:r>
      </m:oMath>
      <w:r>
        <w:t xml:space="preserve"> </w:t>
      </w:r>
      <w:r>
        <w:t xml:space="preserve">was calculated for each posterior draw using the corresponding posterior samples of</w:t>
      </w:r>
      <w:r>
        <w:t xml:space="preserve"> </w:t>
      </w:r>
      <m:oMath>
        <m:r>
          <m:t>μ</m:t>
        </m:r>
      </m:oMath>
      <w:r>
        <w:t xml:space="preserve"> </w:t>
      </w:r>
      <w:r>
        <w:t xml:space="preserve">and</w:t>
      </w:r>
      <w:r>
        <w:t xml:space="preserve"> </w:t>
      </w:r>
      <m:oMath>
        <m:r>
          <m:t>θ</m:t>
        </m:r>
      </m:oMath>
      <w:r>
        <w:t xml:space="preserve">, thereby generating a posterior distribution of repeatability. By calculating repeatability on the observation scale for both traits, these estimates represent the proportion of total phenotypic variance in the observed trait that is attributable to consistent differences among females.</w:t>
      </w:r>
    </w:p>
    <w:p>
      <w:pPr>
        <w:pStyle w:val="BodyText"/>
      </w:pPr>
      <w:r>
        <w:t xml:space="preserve">All models were fitted using weakly informative priors on regression coefficients and variance parameters. Posterior distributions were obtained using six Markov chains with 4,000 iterations per chain, including 1,000 warm-up iterations, and convergence was assessed using R ̂ statistics, effective sample sizes, and inspection of trace plots. Posterior distributions are summarised as posterior means with 95% credible intervals.</w:t>
      </w:r>
      <w:r>
        <w:t xml:space="preserve"> </w:t>
      </w:r>
      <w:r>
        <w:t xml:space="preserve">Data were visualized using</w:t>
      </w:r>
      <w:r>
        <w:t xml:space="preserve"> </w:t>
      </w:r>
      <w:r>
        <w:rPr>
          <w:i/>
          <w:iCs/>
        </w:rPr>
        <w:t xml:space="preserve">ggplot</w:t>
      </w:r>
      <w:r>
        <w:t xml:space="preserve"> </w:t>
      </w:r>
      <w:r>
        <w:t xml:space="preserve">(Wickham 2016)</w:t>
      </w:r>
      <w:r>
        <w:t xml:space="preserve"> </w:t>
      </w:r>
      <w:r>
        <w:t xml:space="preserve">and</w:t>
      </w:r>
      <w:r>
        <w:t xml:space="preserve"> </w:t>
      </w:r>
      <w:r>
        <w:rPr>
          <w:i/>
          <w:iCs/>
        </w:rPr>
        <w:t xml:space="preserve">tidybayes</w:t>
      </w:r>
      <w:r>
        <w:t xml:space="preserve"> </w:t>
      </w:r>
      <w:r>
        <w:t xml:space="preserve">(Kay 2020)</w:t>
      </w:r>
      <w:r>
        <w:t xml:space="preserve">.</w:t>
      </w:r>
    </w:p>
    <w:bookmarkEnd w:id="23"/>
    <w:bookmarkEnd w:id="24"/>
    <w:bookmarkStart w:id="27" w:name="results"/>
    <w:p>
      <w:pPr>
        <w:pStyle w:val="Heading1"/>
      </w:pPr>
      <w:r>
        <w:t xml:space="preserve">Results</w:t>
      </w:r>
    </w:p>
    <w:bookmarkStart w:id="25" w:name="between-and-within-female-correlations"/>
    <w:p>
      <w:pPr>
        <w:pStyle w:val="Heading4"/>
      </w:pPr>
      <w:r>
        <w:t xml:space="preserve">Between and within female correlations</w:t>
      </w:r>
    </w:p>
    <w:p>
      <w:pPr>
        <w:pStyle w:val="FirstParagraph"/>
      </w:pPr>
      <w:r>
        <w:t xml:space="preserve">Across all clutches, the raw phenotypic correlation between egg number and egg size was weak and close to zero (</w:t>
      </w:r>
      <m:oMath>
        <m:sSub>
          <m:e>
            <m:r>
              <m:t>r</m:t>
            </m:r>
          </m:e>
          <m:sub>
            <m:r>
              <m:t>r</m:t>
            </m:r>
            <m:r>
              <m:t>a</m:t>
            </m:r>
            <m:r>
              <m:t>w</m:t>
            </m:r>
          </m:sub>
        </m:sSub>
      </m:oMath>
      <w:r>
        <w:t xml:space="preserve"> </w:t>
      </w:r>
      <w:r>
        <w:t xml:space="preserve">= -0.04, 95% CI [-0.25, 0.19]), indicating no clear population-level association when hierarchical structure was ignored.</w:t>
      </w:r>
    </w:p>
    <w:p>
      <w:pPr>
        <w:pStyle w:val="BodyText"/>
      </w:pPr>
      <w:r>
        <w:t xml:space="preserve">Egg number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and egg size (first clutch:</w:t>
      </w:r>
      <w:r>
        <w:t xml:space="preserve"> </w:t>
      </w:r>
      <m:oMath>
        <m:acc>
          <m:accPr>
            <m:chr m:val="‾"/>
          </m:accPr>
          <m:e>
            <m:r>
              <m:t>x</m:t>
            </m:r>
          </m:e>
        </m:acc>
      </m:oMath>
      <w:r>
        <w:t xml:space="preserve"> </w:t>
      </w:r>
      <w:r>
        <w:t xml:space="preserve">= 3.54 ± 0.03; second clutch:</w:t>
      </w:r>
      <w:r>
        <w:t xml:space="preserve"> </w:t>
      </w:r>
      <m:oMath>
        <m:acc>
          <m:accPr>
            <m:chr m:val="‾"/>
          </m:accPr>
          <m:e>
            <m:r>
              <m:t>x</m:t>
            </m:r>
          </m:e>
        </m:acc>
      </m:oMath>
      <w:r>
        <w:t xml:space="preserve"> </w:t>
      </w:r>
      <w:r>
        <w:t xml:space="preserve">± SE = 3.41 ± 0.03) both declined in second clutches. Clutch size was substantially lower in brood two (log-scale</w:t>
      </w:r>
      <w:r>
        <w:t xml:space="preserve"> </w:t>
      </w:r>
      <m:oMath>
        <m:r>
          <m:t>β</m:t>
        </m:r>
      </m:oMath>
      <w:r>
        <w:t xml:space="preserve"> </w:t>
      </w:r>
      <w:r>
        <w:t xml:space="preserve">= -0.41, 95% CrI (-0.64, -0.19), corresponding to an approximate 34% reduction in egg number on the natural scale (</w:t>
      </w:r>
      <m:oMath>
        <m:sSup>
          <m:e>
            <m:r>
              <m:t>e</m:t>
            </m:r>
          </m:e>
          <m:sup>
            <m:r>
              <m:rPr>
                <m:sty m:val="p"/>
              </m:rPr>
              <m:t>−</m:t>
            </m:r>
            <m:r>
              <m:t>0.413</m:t>
            </m:r>
          </m:sup>
        </m:sSup>
        <m:r>
          <m:rPr>
            <m:sty m:val="p"/>
          </m:rPr>
          <m:t>≈</m:t>
        </m:r>
        <m:r>
          <m:t>0.66</m:t>
        </m:r>
      </m:oMath>
      <w:r>
        <w:t xml:space="preserve">). Mean egg size also decreased in brood two (</w:t>
      </w:r>
      <m:oMath>
        <m:r>
          <m:t>β</m:t>
        </m:r>
      </m:oMath>
      <w:r>
        <w:t xml:space="preserve"> </w:t>
      </w:r>
      <w:r>
        <w:t xml:space="preserve">= -0.13, 95% CrI (-0.24, -0.02)).</w:t>
      </w:r>
    </w:p>
    <w:p>
      <w:pPr>
        <w:pStyle w:val="BodyText"/>
      </w:pPr>
      <w:r>
        <w:t xml:space="preserve">There was no evidence of a within-female plastic trade-off between egg number and egg size. The within-female effect of clutch-size deviation on egg size was small and highly uncertain (</w:t>
      </w:r>
      <m:oMath>
        <m:sSub>
          <m:e>
            <m:r>
              <m:t>β</m:t>
            </m:r>
          </m:e>
          <m:sub>
            <m:r>
              <m:t>W</m:t>
            </m:r>
          </m:sub>
        </m:sSub>
      </m:oMath>
      <w:r>
        <w:t xml:space="preserve"> </w:t>
      </w:r>
      <w:r>
        <w:t xml:space="preserve">= -0.01, 95% CrI (-0.06, 0.05), indicating that females did not adjust egg size in response to producing more or fewer eggs relative to their own mean.</w:t>
      </w:r>
    </w:p>
    <w:p>
      <w:pPr>
        <w:pStyle w:val="BodyText"/>
      </w:pPr>
      <w:r>
        <w:t xml:space="preserve">In contrast, the between-female component revealed a negative association between mean egg size and egg number. Females that produced more eggs on average tended to lay smaller eggs (</w:t>
      </w:r>
      <m:oMath>
        <m:sSub>
          <m:e>
            <m:r>
              <m:t>β</m:t>
            </m:r>
          </m:e>
          <m:sub>
            <m:r>
              <m:t>B</m:t>
            </m:r>
          </m:sub>
        </m:sSub>
      </m:oMath>
      <w:r>
        <w:t xml:space="preserve"> </w:t>
      </w:r>
      <w:r>
        <w:t xml:space="preserve">= -0.05, 95% CrI (-0.10, 0.00), consistent with a moderate among-female allocation trade-off. The estimated correlation between female-level intercepts for egg number and egg size was highly uncertain (median ≈ -0.02, 95% CrI: -0.81, 0.82), reflecting limited information for estimating latent covariance with only two clutches per female. Together, these results show that the size–number trade-off is not apparent at the raw phenotypic level, but emerges when variation is partitioned among females, while no evidence for dynamic within-female reallocation was detected. No measure of female size/condition was positively correlated with the number of eggs in the first brood (pronotum length:</w:t>
      </w:r>
      <w:r>
        <w:t xml:space="preserve"> </w:t>
      </w:r>
      <m:oMath>
        <m:r>
          <m:t>r</m:t>
        </m:r>
      </m:oMath>
      <w:r>
        <w:t xml:space="preserve"> </w:t>
      </w:r>
      <w:r>
        <w:t xml:space="preserve">= 0.14, 95% CI [-0.19, 0.43]; body mass:</w:t>
      </w:r>
      <w:r>
        <w:t xml:space="preserve"> </w:t>
      </w:r>
      <m:oMath>
        <m:r>
          <m:t>r</m:t>
        </m:r>
      </m:oMath>
      <w:r>
        <w:t xml:space="preserve"> </w:t>
      </w:r>
      <w:r>
        <w:t xml:space="preserve">= 0.12, 95% CI [-0.21, 0.43]; PC1:</w:t>
      </w:r>
      <w:r>
        <w:t xml:space="preserve"> </w:t>
      </w:r>
      <m:oMath>
        <m:r>
          <m:t>r</m:t>
        </m:r>
      </m:oMath>
      <w:r>
        <w:t xml:space="preserve"> </w:t>
      </w:r>
      <w:r>
        <w:t xml:space="preserve">= -0.17, 95% CI [-0.44, 0.15]; scaled mass index:</w:t>
      </w:r>
      <w:r>
        <w:t xml:space="preserve"> </w:t>
      </w:r>
      <m:oMath>
        <m:sSub>
          <m:e>
            <m:r>
              <m:t>r</m:t>
            </m:r>
          </m:e>
          <m:sub>
            <m:r>
              <m:t>r</m:t>
            </m:r>
            <m:r>
              <m:t>a</m:t>
            </m:r>
            <m:r>
              <m:t>w</m:t>
            </m:r>
          </m:sub>
        </m:sSub>
      </m:oMath>
      <w:r>
        <w:t xml:space="preserve"> </w:t>
      </w:r>
      <w:r>
        <w:t xml:space="preserve">= -0.02, 95% CI [-0.35, 0.33]) suggesting that larger females or those in better condition produce more eggs. I therefore did not inlcude a measure of size/condition in this model.</w:t>
      </w:r>
    </w:p>
    <w:bookmarkEnd w:id="25"/>
    <w:bookmarkStart w:id="26" w:name="Xa0713afe1a0937a4c359af3d72eeaa97e62c984"/>
    <w:p>
      <w:pPr>
        <w:pStyle w:val="Heading4"/>
      </w:pPr>
      <w:r>
        <w:t xml:space="preserve">Egg size variation between females and within clutches</w:t>
      </w:r>
    </w:p>
    <w:p>
      <w:pPr>
        <w:pStyle w:val="FirstParagraph"/>
      </w:pPr>
      <w:r>
        <w:t xml:space="preserve">Egg size exhibited substantial variation at both the between-female and within-clutch levels (</w:t>
      </w:r>
      <w:r>
        <w:rPr>
          <w:b/>
          <w:bCs/>
        </w:rPr>
        <w:t xml:space="preserve">?@fig-four</w:t>
      </w:r>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pPr>
        <w:pStyle w:val="BodyText"/>
      </w:pPr>
      <w:r>
        <w:t xml:space="preserve">Egg size was highly repeatable in both broods, but repeatability was higher in first broods (R = 0.64 [95% CrI: 0.54, 0.74]) than in second broods (R = 0.79 [95% CrI: 0.71, 0.86]), indicating greater within-female variance in egg size expression during second reproductive attempts.</w:t>
      </w:r>
    </w:p>
    <w:bookmarkEnd w:id="26"/>
    <w:bookmarkEnd w:id="27"/>
    <w:bookmarkStart w:id="28" w:name="discussion"/>
    <w:p>
      <w:pPr>
        <w:pStyle w:val="Heading1"/>
      </w:pPr>
      <w:r>
        <w:t xml:space="preserve">Discussion</w:t>
      </w:r>
    </w:p>
    <w:p>
      <w:pPr>
        <w:pStyle w:val="FirstParagraph"/>
      </w:pPr>
      <w:r>
        <w:t xml:space="preserve">Life-history theory predicts a trade-off between offspring size and number because both traits draw from a finite pool of reproductive resources</w:t>
      </w:r>
      <w:r>
        <w:t xml:space="preserve"> </w:t>
      </w:r>
      <w:r>
        <w:t xml:space="preserve">(Lack 1947; Smith and Fretwell 1974; Stearns 1992; Roff 1992)</w:t>
      </w:r>
      <w:r>
        <w:t xml:space="preserve">. However, whether this trade-off is detectable depends on the hierarchical scale at which variation is examined. As formalized by van Noordwijk and de Jong</w:t>
      </w:r>
      <w:r>
        <w:t xml:space="preserve"> </w:t>
      </w:r>
      <w:r>
        <w:t xml:space="preserve">(1986; see also Reznick et al. 2000)</w:t>
      </w:r>
      <w:r>
        <w:t xml:space="preserve">, variation in resource acquisition can mask allocation trade-offs at the phenotypic level. By partitioning covariance into among-female and within-female components, my results show that the size–number trade-off in this population is expressed primarily among females, not within them, and that late reproduction is characterized more by constraint than by adaptive plasticity. Crucially, this pattern emerges against a background of near-zero repeatability in egg number, indicating that clutch size itself is not a stable female attribute in this system.</w:t>
      </w:r>
    </w:p>
    <w:p>
      <w:pPr>
        <w:pStyle w:val="BodyText"/>
      </w:pPr>
      <w:r>
        <w:t xml:space="preserve">Across females, mean egg number and mean egg size were moderately and negatively associated. Females that produced more eggs on average laid smaller eggs, and the standardized between-female effect was credibly negative. This pattern is consistent with a classical allocation trade-off</w:t>
      </w:r>
      <w:r>
        <w:t xml:space="preserve"> </w:t>
      </w:r>
      <w:r>
        <w:t xml:space="preserve">(Smith and Fretwell 1974)</w:t>
      </w:r>
      <w:r>
        <w:t xml:space="preserve">, indicating systematic differences in how females distribute reproductive resources between offspring number and offspring size. Under the van Noordwijk and de Jong</w:t>
      </w:r>
      <w:r>
        <w:t xml:space="preserve"> </w:t>
      </w:r>
      <w:r>
        <w:t xml:space="preserve">(1986)</w:t>
      </w:r>
      <w:r>
        <w:t xml:space="preserve"> </w:t>
      </w:r>
      <w:r>
        <w:t xml:space="preserve">framework, a negative among-individual correlation implies that variation in allocation outweighs variation in acquisition. If acquisition differences dominated, females with greater resources would produce both more and larger eggs, generating a positive or null association. Instead, females align along an allocation axis: some produce relatively many small eggs, whereas others produce fewer large eggs. Importantly, this trade-off was not visible in the raw phenotypic correlation, which was near zero; a finding similar to that of Koch and Meunier</w:t>
      </w:r>
      <w:r>
        <w:t xml:space="preserve"> </w:t>
      </w:r>
      <w:r>
        <w:t xml:space="preserve">(2014)</w:t>
      </w:r>
      <w:r>
        <w:t xml:space="preserve">. Only after partitioning covariance did the negative among-female relationship emerge, directly illustrating how hierarchical structure can obscure allocation trade-offs when levels of variation are conflated</w:t>
      </w:r>
      <w:r>
        <w:t xml:space="preserve"> </w:t>
      </w:r>
      <w:r>
        <w:t xml:space="preserve">(1986; Stearns 1992)</w:t>
      </w:r>
      <w:r>
        <w:t xml:space="preserve">.</w:t>
      </w:r>
    </w:p>
    <w:p>
      <w:pPr>
        <w:pStyle w:val="BodyText"/>
      </w:pPr>
      <w:r>
        <w:t xml:space="preserve">High repeatability of egg size further supports this interpretation. Substantial among-female variance and repeatability estimates (R ≈ 0.79 in first broods and 0.64 in second broods) indicate persistent differences in mean reproductive phenotype</w:t>
      </w:r>
      <w:r>
        <w:t xml:space="preserve"> </w:t>
      </w:r>
      <w:r>
        <w:t xml:space="preserve">(Lessells and Boag 1987; Dingemanse and Dochtermann 2013)</w:t>
      </w:r>
      <w:r>
        <w:t xml:space="preserve">. In sharp contrast, egg number repeatability was effectively zero, with credible intervals overlapping zero. Thus, while egg size reflects stable, female-specific allocation strategies, clutch size does not. The among-female trade-off therefore arises because females differ consistently in allocation rule (egg size), whereas egg number appears much more labile and context-dependent. In other words, what is evolutionarily stable among females is how resources are divided per offspring, not how many offspring are produced per reproductive bout.</w:t>
      </w:r>
    </w:p>
    <w:p>
      <w:pPr>
        <w:pStyle w:val="BodyText"/>
      </w:pPr>
      <w:r>
        <w:t xml:space="preserve">The near-zero repeatability of egg number has important implications for interpreting the trade-off. Repeatability sets the upper limit to heritability and reflects the proportion of variance attributable to consistent among-individual differences</w:t>
      </w:r>
      <w:r>
        <w:t xml:space="preserve"> </w:t>
      </w:r>
      <w:r>
        <w:t xml:space="preserve">(Lessells and Boag 1987; Falconer and MacKay 1996)</w:t>
      </w:r>
      <w:r>
        <w:t xml:space="preserve">. In my study, clutch size varied primarily within females rather than among them. This suggests that egg number is strongly influenced by short-term resource state, brood order, or physiological constraints, rather than reflecting a stable reproductive strategy. Consequently, selection on clutch size per se may be weak unless environmental or physiological conditions stabilize it across reproductive bouts. By contrast, egg size shows high consistency within females, making it a more likely target of persistent selection. Indeed, several studies have shown that egg size is significantly heritable in a variety of insect species</w:t>
      </w:r>
      <w:r>
        <w:t xml:space="preserve"> </w:t>
      </w:r>
      <w:r>
        <w:t xml:space="preserve">(Harvey 1983; e.g., Yanagi et al. 2006; Seko et al. 2006; Torres-Vila et al. 2012)</w:t>
      </w:r>
      <w:r>
        <w:t xml:space="preserve">. The allocation trade-off observed among female earwigs in my study is therefore driven by consistent differences in egg size combined with flexible, low-repeatability variation in egg number.</w:t>
      </w:r>
    </w:p>
    <w:p>
      <w:pPr>
        <w:pStyle w:val="BodyText"/>
      </w:pPr>
      <w:r>
        <w:t xml:space="preserve">There was no detectable size–number trade-off within females once clutch order was accounted for. The residual covariance was effectively zero, and the variance in within-female slopes was small and uncertain. Females did not plastically reduce egg size when producing more eggs within a given clutch. Instead, egg size and egg number declined in parallel from first to second clutches. This shared brood effect entirely explained the weak within-female association observed prior to accounting for clutch order. Allocation decisions, therefore, appear to operate at the scale of the reproductive bout rather than being dynamically adjusted in response to clutch size. The absence of within-female covariance is consistent with the near-zero repeatability of egg number: clutch size changes across broods, but not in a way that reflects a systematic, female-specific reallocation rule. Rather than fine-tuning egg size in response to clutch size, females appear to follow a relatively fixed size-allocation strategy while clutch size fluctuates according to resource state or reproductive capacity.</w:t>
      </w:r>
    </w:p>
    <w:p>
      <w:pPr>
        <w:pStyle w:val="BodyText"/>
      </w:pPr>
      <w:r>
        <w:t xml:space="preserve">Second clutches comprised fewer and smaller eggs than first clutches, a pattern consistent with previous studies in both Montreal and Italian populations</w:t>
      </w:r>
      <w:r>
        <w:t xml:space="preserve"> </w:t>
      </w:r>
      <w:r>
        <w:t xml:space="preserve">(Tourneur and Gingras 1992; Koch and Meunier 2014)</w:t>
      </w:r>
      <w:r>
        <w:t xml:space="preserve">. Tourneur and Gingras</w:t>
      </w:r>
      <w:r>
        <w:t xml:space="preserve"> </w:t>
      </w:r>
      <w:r>
        <w:t xml:space="preserve">(1992)</w:t>
      </w:r>
      <w:r>
        <w:t xml:space="preserve"> </w:t>
      </w:r>
      <w:r>
        <w:t xml:space="preserve">proposed a proximate explanation based on ovarian structure in</w:t>
      </w:r>
      <w:r>
        <w:t xml:space="preserve"> </w:t>
      </w:r>
      <w:r>
        <w:rPr>
          <w:i/>
          <w:iCs/>
        </w:rPr>
        <w:t xml:space="preserve">F. auricularia</w:t>
      </w:r>
      <w:r>
        <w:t xml:space="preserve">, suggesting that some ovarioles become non-functional after the first clutch. A reduction in functional ovarioles would directly limit egg production (reproductive) capacity and may partially explain the smaller second clutches observed here. However, reduced ovariole number alone does not explain why egg size also declines. If females simply redistributed a fixed resource pool across fewer eggs, a compensatory increase in egg size might be expected under a strict size–number trade-off. Instead, both egg number and egg size decreased, suggesting that females entered the second reproductive bout with diminished overall resource reserves. In the wild, females accumulate resources over many months prior to their first clutch, whereas in the laboratory, they had only a short interval to acquire resources for the second clutch. Under this scenario, females partition a reduced resource pool across the remaining functional ovarioles without altering their allocation rule, producing both fewer and smaller eggs.</w:t>
      </w:r>
    </w:p>
    <w:p>
      <w:pPr>
        <w:pStyle w:val="BodyText"/>
      </w:pPr>
      <w:r>
        <w:t xml:space="preserve">The variance structure reinforces this constraint-based interpretation. Although egg size remained highly repeatable, within-clutch (egg-to-egg) variance increased substantially in second broods. These findings operate at different hierarchical levels and are not contradictory. High egg-size repeatability reflects stability in mean allocation strategy among females, whereas within-clutch variance reflects the precision with which individual eggs are constructed around that mean. The increase in egg-to-egg heterogeneity in second broods therefore suggests reduced developmental precision under diminished resource state rather than adaptive diversification of offspring phenotypes</w:t>
      </w:r>
      <w:r>
        <w:t xml:space="preserve"> </w:t>
      </w:r>
      <w:r>
        <w:t xml:space="preserve">(see Fox and Czesak 2000)</w:t>
      </w:r>
      <w:r>
        <w:t xml:space="preserve">. Taken together, the absence of residual covariance, minimal variation in within-female slopes, near-zero repeatability of egg number, and increased within-clutch variance indicate that females do not plastically adjust egg size in response to clutch size. Instead, second clutches seem to be defined by physiological or constraints (e.g. reduced ovariole number) and diminished control over egg construction (i.e. small resource pool).</w:t>
      </w:r>
    </w:p>
    <w:p>
      <w:pPr>
        <w:pStyle w:val="BodyText"/>
      </w:pPr>
      <w:r>
        <w:t xml:space="preserve">Egg-size variation within clutches was greater in second than in first clutches in earwigs, a pattern opposite to that reported in birds</w:t>
      </w:r>
      <w:r>
        <w:t xml:space="preserve"> </w:t>
      </w:r>
      <w:r>
        <w:t xml:space="preserve">(e.g. Yosef and Zduniak 2008)</w:t>
      </w:r>
      <w:r>
        <w:t xml:space="preserve">. In birds, lower intraclutch variation is often associated with favourable environmental conditions and good nutritional state. For example, desert finches (</w:t>
      </w:r>
      <w:r>
        <w:rPr>
          <w:i/>
          <w:iCs/>
        </w:rPr>
        <w:t xml:space="preserve">Rhodopsiza obsoleta</w:t>
      </w:r>
      <w:r>
        <w:t xml:space="preserve">) produced more uniformly sized eggs under stable conditions</w:t>
      </w:r>
      <w:r>
        <w:t xml:space="preserve"> </w:t>
      </w:r>
      <w:r>
        <w:t xml:space="preserve">(Yosef and Zduniak 2008)</w:t>
      </w:r>
      <w:r>
        <w:t xml:space="preserve">; collared flycatchers (</w:t>
      </w:r>
      <w:r>
        <w:rPr>
          <w:i/>
          <w:iCs/>
        </w:rPr>
        <w:t xml:space="preserve">Ficedula albicollis</w:t>
      </w:r>
      <w:r>
        <w:t xml:space="preserve">) laid progressively larger eggs in favourable environments</w:t>
      </w:r>
      <w:r>
        <w:t xml:space="preserve"> </w:t>
      </w:r>
      <w:r>
        <w:t xml:space="preserve">(Hargitai et al. 2005)</w:t>
      </w:r>
      <w:r>
        <w:t xml:space="preserve">; and blue tits (</w:t>
      </w:r>
      <w:r>
        <w:rPr>
          <w:i/>
          <w:iCs/>
        </w:rPr>
        <w:t xml:space="preserve">Parus caeruleus</w:t>
      </w:r>
      <w:r>
        <w:t xml:space="preserve">) in better condition produced clutches with less egg-size variation</w:t>
      </w:r>
      <w:r>
        <w:t xml:space="preserve"> </w:t>
      </w:r>
      <w:r>
        <w:t xml:space="preserve">(Nilsson and Svensson 1993)</w:t>
      </w:r>
      <w:r>
        <w:t xml:space="preserve">. Although comparable data are scarce in insects, similar principles may apply. In my study, females likely had less time to replenish resources before producing their second clutch. If so, first clutches may reflect allocation based primarily on intrinsic factors such as body condition, resulting in relatively uniform egg sizes within clutches. In contrast, second clutches may reflect progressive resource depletion, with females allocating optimally sized eggs early in the laying sequence and producing smaller eggs as resources become limiting. Because laying order was not recorded, I cannot test whether smaller eggs occurred late in the sequence. In birds, intraclutch egg-size variation can be adaptive. Larger late-laid eggs may offset hatching asynchrony, whereas smaller late-laid eggs may facilitate brood reduction</w:t>
      </w:r>
      <w:r>
        <w:t xml:space="preserve"> </w:t>
      </w:r>
      <w:r>
        <w:t xml:space="preserve">(Slagsvold et al. 1984)</w:t>
      </w:r>
      <w:r>
        <w:t xml:space="preserve">. Whether intraclutch egg-size variation serves a comparable adaptive function in insects with maternal care remains unknown.</w:t>
      </w:r>
    </w:p>
    <w:p>
      <w:pPr>
        <w:pStyle w:val="BodyText"/>
      </w:pPr>
      <w:r>
        <w:t xml:space="preserve">Viewed hierarchically, a coherent pattern emerges. The size–number trade-off is expressed at the among-female level, where persistent differences in allocation strategy—primarily manifested in egg size—generate a negative covariance with mean clutch size. At the within-female level, there is little evidence for dynamic reallocation across clutches. At the within-clutch level, variance increases in second broods, indicating declining developmental precision under reduced resource state. This structure aligns closely with theoretical expectations when allocation strategies differ among individuals, but short-term plasticity is constrained</w:t>
      </w:r>
      <w:r>
        <w:t xml:space="preserve"> </w:t>
      </w:r>
      <w:r>
        <w:t xml:space="preserve">(1986; Stearns 1992; Roff 1992)</w:t>
      </w:r>
      <w:r>
        <w:t xml:space="preserve">. Variation in allocation is dominant among females, whereas clutch size itself is largely dependent on clutch order and weakly repeatable. Thus, the evolutionary signal lies in stable allocation rules rather than in flexible clutch-size adjustment.</w:t>
      </w:r>
    </w:p>
    <w:p>
      <w:pPr>
        <w:pStyle w:val="BodyText"/>
      </w:pPr>
      <w:r>
        <w:t xml:space="preserve">Because the trade-off is expressed primarily among females—and because egg size is highly repeatable—selection is most likely to act on persistent differences in allocation strategy if they are heritable or predictably condition-dependent</w:t>
      </w:r>
      <w:r>
        <w:t xml:space="preserve"> </w:t>
      </w:r>
      <w:r>
        <w:t xml:space="preserve">(Stearns 1992; Roff 1992)</w:t>
      </w:r>
      <w:r>
        <w:t xml:space="preserve">. In contrast, the near-zero repeatability of egg number suggests that clutch size may respond primarily to short-term physiological or environmental conditions, potentially limiting its direct evolutionary response. Future work measuring resource acquisition directly, experimentally manipulating resource availability, or estimating genetic correlations between egg size and egg number would help determine whether the observed among-female trade-off reflects adaptive divergence in allocation rules or condition-dependent constraint.</w:t>
      </w:r>
    </w:p>
    <w:bookmarkEnd w:id="28"/>
    <w:bookmarkStart w:id="29" w:name="data-availability"/>
    <w:p>
      <w:pPr>
        <w:pStyle w:val="Heading1"/>
      </w:pPr>
      <w:r>
        <w:t xml:space="preserve">Data availability</w:t>
      </w:r>
    </w:p>
    <w:p>
      <w:pPr>
        <w:pStyle w:val="FirstParagraph"/>
      </w:pPr>
      <w:r>
        <w:t xml:space="preserve">Data are available through the OSF repository at 10.17605/OSF.IO/KWCS8.</w:t>
      </w:r>
    </w:p>
    <w:bookmarkEnd w:id="29"/>
    <w:bookmarkStart w:id="30" w:name="author-contributions"/>
    <w:p>
      <w:pPr>
        <w:pStyle w:val="Heading1"/>
      </w:pPr>
      <w:r>
        <w:t xml:space="preserve">Author contributions</w:t>
      </w:r>
    </w:p>
    <w:p>
      <w:pPr>
        <w:pStyle w:val="FirstParagraph"/>
      </w:pPr>
      <w:r>
        <w:t xml:space="preserve">CDK collected and analyzed the data, and wrote the manuscript.</w:t>
      </w:r>
    </w:p>
    <w:bookmarkEnd w:id="30"/>
    <w:bookmarkStart w:id="31"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1"/>
    <w:bookmarkStart w:id="32" w:name="conflict-of-interest"/>
    <w:p>
      <w:pPr>
        <w:pStyle w:val="Heading1"/>
      </w:pPr>
      <w:r>
        <w:t xml:space="preserve">Conflict of Interest</w:t>
      </w:r>
    </w:p>
    <w:p>
      <w:pPr>
        <w:pStyle w:val="FirstParagraph"/>
      </w:pPr>
      <w:r>
        <w:t xml:space="preserve">I declare no conflict of interest.</w:t>
      </w:r>
    </w:p>
    <w:bookmarkEnd w:id="32"/>
    <w:bookmarkStart w:id="33" w:name="acknowledgements"/>
    <w:p>
      <w:pPr>
        <w:pStyle w:val="Heading1"/>
      </w:pPr>
      <w:r>
        <w:t xml:space="preserve">Acknowledgements</w:t>
      </w:r>
    </w:p>
    <w:p>
      <w:pPr>
        <w:pStyle w:val="FirstParagraph"/>
      </w:pPr>
      <w:r>
        <w:t xml:space="preserve">I thank Andréanne Nault and Clara Smythe for assistance in animal care and data collection. I also thank members of Groupe de Recherche sur l’Écologie Évolutive des Interactions Biologiques for discussion.</w:t>
      </w:r>
    </w:p>
    <w:p>
      <w:r>
        <w:br w:type="page"/>
      </w:r>
    </w:p>
    <w:bookmarkEnd w:id="33"/>
    <w:bookmarkStart w:id="82" w:name="references"/>
    <w:p>
      <w:pPr>
        <w:pStyle w:val="Heading1"/>
      </w:pPr>
      <w:r>
        <w:t xml:space="preserve">References</w:t>
      </w:r>
    </w:p>
    <w:bookmarkStart w:id="73" w:name="refs"/>
    <w:bookmarkStart w:id="34" w:name="ref-bernardo1996"/>
    <w:p>
      <w:pPr>
        <w:pStyle w:val="Bibliography"/>
      </w:pPr>
      <w:r>
        <w:t xml:space="preserve">Bernardo, J. 1996. The particular maternal effect of propagule size, especially egg size: Patterns, models, quality of evidence and interpretations. Am Zool 36:216–236.</w:t>
      </w:r>
    </w:p>
    <w:bookmarkEnd w:id="34"/>
    <w:bookmarkStart w:id="35" w:name="ref-careau2017"/>
    <w:p>
      <w:pPr>
        <w:pStyle w:val="Bibliography"/>
      </w:pPr>
      <w:r>
        <w:t xml:space="preserve">Careau, V., and R. Wilson. 2017. Of uberfleas and krakens: Detecting trade-offs using mixed models. Integr Comp Biol 57:362–371.</w:t>
      </w:r>
    </w:p>
    <w:bookmarkEnd w:id="35"/>
    <w:bookmarkStart w:id="36" w:name="ref-clutton-brock1991"/>
    <w:p>
      <w:pPr>
        <w:pStyle w:val="Bibliography"/>
      </w:pPr>
      <w:r>
        <w:t xml:space="preserve">Clutton-Brock, T. H. 1991.</w:t>
      </w:r>
      <w:r>
        <w:t xml:space="preserve"> </w:t>
      </w:r>
      <w:r>
        <w:t xml:space="preserve">The Evolution of Parental Care</w:t>
      </w:r>
      <w:r>
        <w:t xml:space="preserve">. Princeton University Press.</w:t>
      </w:r>
    </w:p>
    <w:bookmarkEnd w:id="36"/>
    <w:bookmarkStart w:id="37" w:name="ref-dingemanse2013"/>
    <w:p>
      <w:pPr>
        <w:pStyle w:val="Bibliography"/>
      </w:pPr>
      <w:r>
        <w:t xml:space="preserve">Dingemanse, N., and N. Dochtermann. 2013. Quantifying individual variation in behaviour: Mixed-effect modelling approaches. J Anim Ecol 82:39–54. Evolutionary Ecology of Variation Group, Max Planck Institute for Ornithology, Eberhard-Gwinner-Stra</w:t>
      </w:r>
      <w:r>
        <w:t xml:space="preserve">ß</w:t>
      </w:r>
      <w:r>
        <w:t xml:space="preserve">e, 82319 Seewiesen (Starnberg), Germany. ndingemanse@orn.mpg.de.</w:t>
      </w:r>
    </w:p>
    <w:bookmarkEnd w:id="37"/>
    <w:bookmarkStart w:id="38"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38"/>
    <w:bookmarkStart w:id="39" w:name="ref-fox2000"/>
    <w:p>
      <w:pPr>
        <w:pStyle w:val="Bibliography"/>
      </w:pPr>
      <w:r>
        <w:t xml:space="preserve">Fox, C. W., and M. E. Czesak. 2000. Evolutionary ecology of progeny size in arthropods. Annu Rev Entomol 45:341–369.</w:t>
      </w:r>
    </w:p>
    <w:bookmarkEnd w:id="39"/>
    <w:bookmarkStart w:id="40"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0"/>
    <w:bookmarkStart w:id="41" w:name="ref-harvey1983"/>
    <w:p>
      <w:pPr>
        <w:pStyle w:val="Bibliography"/>
      </w:pPr>
      <w:r>
        <w:t xml:space="preserve">Harvey, G. T. 1983. Environmental and genetic effects on mean egg weight in spruce budworm (lepidoptera: tortricidae). The Canadian Entomologist 115:1109–1117.</w:t>
      </w:r>
    </w:p>
    <w:bookmarkEnd w:id="41"/>
    <w:bookmarkStart w:id="42" w:name="ref-honek1993"/>
    <w:p>
      <w:pPr>
        <w:pStyle w:val="Bibliography"/>
      </w:pPr>
      <w:r>
        <w:t xml:space="preserve">Honek, A. 1993. Intraspecific variation in body size and fecundity in insects: A general relationship. Oikos 483–492.</w:t>
      </w:r>
    </w:p>
    <w:bookmarkEnd w:id="42"/>
    <w:bookmarkStart w:id="44" w:name="ref-kay2020"/>
    <w:p>
      <w:pPr>
        <w:pStyle w:val="Bibliography"/>
      </w:pPr>
      <w:r>
        <w:t xml:space="preserve">Kay, M. 2020.</w:t>
      </w:r>
      <w:r>
        <w:t xml:space="preserve"> </w:t>
      </w:r>
      <w:hyperlink r:id="rId43">
        <w:r>
          <w:rPr>
            <w:rStyle w:val="Hyperlink"/>
          </w:rPr>
          <w:t xml:space="preserve">tidybayes</w:t>
        </w:r>
        <w:r>
          <w:rPr>
            <w:rStyle w:val="Hyperlink"/>
          </w:rPr>
          <w:t xml:space="preserve">:</w:t>
        </w:r>
        <w:r>
          <w:rPr>
            <w:rStyle w:val="Hyperlink"/>
          </w:rPr>
          <w:t xml:space="preserve"> </w:t>
        </w:r>
        <w:r>
          <w:rPr>
            <w:rStyle w:val="Hyperlink"/>
          </w:rPr>
          <w:t xml:space="preserve">T</w:t>
        </w:r>
        <w:r>
          <w:rPr>
            <w:rStyle w:val="Hyperlink"/>
          </w:rPr>
          <w:t xml:space="preserve">idy Data and Geoms for</w:t>
        </w:r>
        <w:r>
          <w:rPr>
            <w:rStyle w:val="Hyperlink"/>
          </w:rPr>
          <w:t xml:space="preserve"> </w:t>
        </w:r>
        <w:r>
          <w:rPr>
            <w:rStyle w:val="Hyperlink"/>
          </w:rPr>
          <w:t xml:space="preserve">Bayesian</w:t>
        </w:r>
        <w:r>
          <w:rPr>
            <w:rStyle w:val="Hyperlink"/>
          </w:rPr>
          <w:t xml:space="preserve"> </w:t>
        </w:r>
        <w:r>
          <w:rPr>
            <w:rStyle w:val="Hyperlink"/>
          </w:rPr>
          <w:t xml:space="preserve">Models</w:t>
        </w:r>
      </w:hyperlink>
      <w:r>
        <w:t xml:space="preserve">.</w:t>
      </w:r>
    </w:p>
    <w:bookmarkEnd w:id="44"/>
    <w:bookmarkStart w:id="45" w:name="ref-kelly2014"/>
    <w:p>
      <w:pPr>
        <w:pStyle w:val="Bibliography"/>
      </w:pPr>
      <w:r>
        <w:t xml:space="preserve">Kelly, C. D., B. Tawes, and A. Worthington. 2014. Evaluating indices of body condition in two cricket species. Ecology and Evolution 4:4476–4487.</w:t>
      </w:r>
    </w:p>
    <w:bookmarkEnd w:id="45"/>
    <w:bookmarkStart w:id="46" w:name="ref-koch2014"/>
    <w:p>
      <w:pPr>
        <w:pStyle w:val="Bibliography"/>
      </w:pPr>
      <w:r>
        <w:t xml:space="preserve">Koch, L. K., and J. Meunier. 2014. Mother and offspring fitness in an insect with maternal care: Phenotypic trade-offs between egg number, egg mass and egg care. BMC Evol Biol 14:125.</w:t>
      </w:r>
    </w:p>
    <w:bookmarkEnd w:id="46"/>
    <w:bookmarkStart w:id="47" w:name="ref-lack1947"/>
    <w:p>
      <w:pPr>
        <w:pStyle w:val="Bibliography"/>
      </w:pPr>
      <w:r>
        <w:t xml:space="preserve">Lack, D. 1947. The significance of clutch-size in the partridge (</w:t>
      </w:r>
      <w:r>
        <w:rPr>
          <w:i/>
          <w:iCs/>
        </w:rPr>
        <w:t xml:space="preserve">perdix perdix</w:t>
      </w:r>
      <w:r>
        <w:t xml:space="preserve">). The Journal of Animal Ecology 19–25.</w:t>
      </w:r>
    </w:p>
    <w:bookmarkEnd w:id="47"/>
    <w:bookmarkStart w:id="48" w:name="ref-lessells1987"/>
    <w:p>
      <w:pPr>
        <w:pStyle w:val="Bibliography"/>
      </w:pPr>
      <w:r>
        <w:t xml:space="preserve">Lessells, C., and P. T. Boag. 1987. Unrepeatable repeatabilities: A common mistake. The Auk 104:116–121.</w:t>
      </w:r>
    </w:p>
    <w:bookmarkEnd w:id="48"/>
    <w:bookmarkStart w:id="49" w:name="ref-meunier2024"/>
    <w:p>
      <w:pPr>
        <w:pStyle w:val="Bibliography"/>
      </w:pPr>
      <w:r>
        <w:t xml:space="preserve">Meunier, J. 2024. The biology and social life of earwigs (dermaptera). Annu Rev Entomol 69:259–276.</w:t>
      </w:r>
    </w:p>
    <w:bookmarkEnd w:id="49"/>
    <w:bookmarkStart w:id="50" w:name="ref-nilsson1993"/>
    <w:p>
      <w:pPr>
        <w:pStyle w:val="Bibliography"/>
      </w:pPr>
      <w:r>
        <w:t xml:space="preserve">Nilsson, J. ‐Å., and E. Svensson. 1993. Causes and consequences of egg mass variation between and within blue tit clutches. J Zool 230:469–481.</w:t>
      </w:r>
    </w:p>
    <w:bookmarkEnd w:id="50"/>
    <w:bookmarkStart w:id="51" w:name="ref-parker1982"/>
    <w:p>
      <w:pPr>
        <w:pStyle w:val="Bibliography"/>
      </w:pPr>
      <w:r>
        <w:t xml:space="preserve">Parker, G. A. 1982. Why are there so many tiny sperm? Sperm competition and the maintenance of two sexes. J Theor Biol 96:281–294.</w:t>
      </w:r>
    </w:p>
    <w:bookmarkEnd w:id="51"/>
    <w:bookmarkStart w:id="52" w:name="ref-peig2009"/>
    <w:p>
      <w:pPr>
        <w:pStyle w:val="Bibliography"/>
      </w:pPr>
      <w:r>
        <w:t xml:space="preserve">Peig, J., and A. J. Green. 2009. New perspectives for estimating body condition from mass/length data: The scaled mass index as an alternative method. Oikos 118:1883–1891.</w:t>
      </w:r>
    </w:p>
    <w:bookmarkEnd w:id="52"/>
    <w:bookmarkStart w:id="53" w:name="ref-peig2010"/>
    <w:p>
      <w:pPr>
        <w:pStyle w:val="Bibliography"/>
      </w:pPr>
      <w:r>
        <w:t xml:space="preserve">Peig, J., and A. J. Green. 2010. The paradigm of body condition: A critical reappraisal of current methods based on mass and length. Funct Ecol 24:1323–1332.</w:t>
      </w:r>
    </w:p>
    <w:bookmarkEnd w:id="53"/>
    <w:bookmarkStart w:id="54"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4"/>
    <w:bookmarkStart w:id="55" w:name="ref-reznick2000"/>
    <w:p>
      <w:pPr>
        <w:pStyle w:val="Bibliography"/>
      </w:pPr>
      <w:r>
        <w:t xml:space="preserve">Reznick, D., L. Nunney, and A. Tessier. 2000. Big houses, big cars, superfleas and the costs of reproduction. Trends Ecol Evol 15:421–425.</w:t>
      </w:r>
    </w:p>
    <w:bookmarkEnd w:id="55"/>
    <w:bookmarkStart w:id="56"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56"/>
    <w:bookmarkStart w:id="57"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57"/>
    <w:bookmarkStart w:id="58"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58"/>
    <w:bookmarkStart w:id="59" w:name="ref-simpson1951"/>
    <w:p>
      <w:pPr>
        <w:pStyle w:val="Bibliography"/>
      </w:pPr>
      <w:r>
        <w:t xml:space="preserve">Simpson, E. H. 1951. The interpretation of interaction in contingency tables. Journal of the Royal Statistical Society: Series B (Methodological) 13:238–241.</w:t>
      </w:r>
    </w:p>
    <w:bookmarkEnd w:id="59"/>
    <w:bookmarkStart w:id="60" w:name="ref-slagsvold1984"/>
    <w:p>
      <w:pPr>
        <w:pStyle w:val="Bibliography"/>
      </w:pPr>
      <w:r>
        <w:t xml:space="preserve">Slagsvold, T., J. Sandvik, G. Rofstad, Ö. Lorentsen, and M. Husby. 1984. On the adaptive value of intraclutch egg-size variation in birds. The Auk 101:685–697.</w:t>
      </w:r>
    </w:p>
    <w:bookmarkEnd w:id="60"/>
    <w:bookmarkStart w:id="61" w:name="ref-smith1974"/>
    <w:p>
      <w:pPr>
        <w:pStyle w:val="Bibliography"/>
      </w:pPr>
      <w:r>
        <w:t xml:space="preserve">Smith, C. C., and S. D. Fretwell. 1974. The optimal balance between size and number of offspring. Am Nat 108:499–506.</w:t>
      </w:r>
    </w:p>
    <w:bookmarkEnd w:id="61"/>
    <w:bookmarkStart w:id="62"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2"/>
    <w:bookmarkStart w:id="63" w:name="ref-stearns1992"/>
    <w:p>
      <w:pPr>
        <w:pStyle w:val="Bibliography"/>
      </w:pPr>
      <w:r>
        <w:t xml:space="preserve">Stearns, S. C. 1992.</w:t>
      </w:r>
      <w:r>
        <w:t xml:space="preserve"> </w:t>
      </w:r>
      <w:r>
        <w:t xml:space="preserve">The Evolution of Life Histories</w:t>
      </w:r>
      <w:r>
        <w:t xml:space="preserve">. Oxford University Press.</w:t>
      </w:r>
    </w:p>
    <w:bookmarkEnd w:id="63"/>
    <w:bookmarkStart w:id="64"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64"/>
    <w:bookmarkStart w:id="65"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65"/>
    <w:bookmarkStart w:id="66"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66"/>
    <w:bookmarkStart w:id="67"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67"/>
    <w:bookmarkStart w:id="68" w:name="ref-vannoordwijk1986"/>
    <w:p>
      <w:pPr>
        <w:pStyle w:val="Bibliography"/>
      </w:pPr>
      <w:r>
        <w:t xml:space="preserve">Van Noordwijk, A. J., and G. de Jong. 1986. Acquisition and allocation of resources: Their influence on variation in life history tactics. Am Nat 128:137–142.</w:t>
      </w:r>
    </w:p>
    <w:bookmarkEnd w:id="68"/>
    <w:bookmarkStart w:id="69" w:name="ref-wickham2016"/>
    <w:p>
      <w:pPr>
        <w:pStyle w:val="Bibliography"/>
      </w:pPr>
      <w:r>
        <w:t xml:space="preserve">Wickham, H. 2016. ggplot2:</w:t>
      </w:r>
      <w:r>
        <w:t xml:space="preserve"> </w:t>
      </w:r>
      <w:r>
        <w:t xml:space="preserve">E</w:t>
      </w:r>
      <w:r>
        <w:t xml:space="preserve">legant graphics for data analysis. Springer, New York.</w:t>
      </w:r>
    </w:p>
    <w:bookmarkEnd w:id="69"/>
    <w:bookmarkStart w:id="70" w:name="ref-winkler1987"/>
    <w:p>
      <w:pPr>
        <w:pStyle w:val="Bibliography"/>
      </w:pPr>
      <w:r>
        <w:t xml:space="preserve">Winkler, D. W., and K. Wallin. 1987. Offspring size and number: A life history model linking effort per offspring and total effort. Am Nat 129:708–720.</w:t>
      </w:r>
    </w:p>
    <w:bookmarkEnd w:id="70"/>
    <w:bookmarkStart w:id="71"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1"/>
    <w:bookmarkStart w:id="72" w:name="ref-yosef2008"/>
    <w:p>
      <w:pPr>
        <w:pStyle w:val="Bibliography"/>
      </w:pPr>
      <w:r>
        <w:t xml:space="preserve">Yosef, R., and P. Zduniak. 2008. Variation in clutch size, egg size variability and reproductive output in the desert finch (rhodospiza obsoleta). J Arid Environ 72:1631–1635.</w:t>
      </w:r>
    </w:p>
    <w:bookmarkEnd w:id="72"/>
    <w:bookmarkEnd w:id="73"/>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7" w:name="fig-one"/>
          <w:p>
            <w:pPr>
              <w:pStyle w:val="Compact"/>
              <w:jc w:val="center"/>
            </w:pPr>
            <w:r>
              <w:drawing>
                <wp:inline>
                  <wp:extent cx="3810000" cy="2540000"/>
                  <wp:effectExtent b="0" l="0" r="0" t="0"/>
                  <wp:docPr descr="" title="" id="75" name="Picture"/>
                  <a:graphic>
                    <a:graphicData uri="http://schemas.openxmlformats.org/drawingml/2006/picture">
                      <pic:pic>
                        <pic:nvPicPr>
                          <pic:cNvPr descr="figure_1.jpg" id="76" name="Picture"/>
                          <pic:cNvPicPr>
                            <a:picLocks noChangeArrowheads="1" noChangeAspect="1"/>
                          </pic:cNvPicPr>
                        </pic:nvPicPr>
                        <pic:blipFill>
                          <a:blip r:embed="rId74"/>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Partitioning the egg size–number trade-off into within- and between-female components. (a) Within-female (plastic) relationship between egg number and mean egg size. Points represent individual broods (first clutch: pink; second clutch: blue), with grey lines connecting repeated measures from the same female. The x-axis shows standardized within-female deviation in egg number (0 = female mean). The solid black line represents the Bayesian population-level estimate of the within-female slope (β_within = −0.01, 95% credible interval [−0.06, 0.05]). (b) Between-female (strategic) relationship based on female means across broods plotted against standardized between-female deviation in egg number. The black line represents the Bayesian population-level between-female slope (β_between = −0.05, 95% credible interval [−0.10, 0.00]). Together, the panels distinguish plastic allocation within females from strategic differences among females, indicating weak support for a reproductive size–number trade-off.</w:t>
            </w:r>
          </w:p>
          <w:bookmarkEnd w:id="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fig-two"/>
          <w:p>
            <w:pPr>
              <w:pStyle w:val="Compact"/>
              <w:jc w:val="center"/>
            </w:pPr>
            <w:r>
              <w:drawing>
                <wp:inline>
                  <wp:extent cx="3810000" cy="2540000"/>
                  <wp:effectExtent b="0" l="0" r="0" t="0"/>
                  <wp:docPr descr="" title="" id="79" name="Picture"/>
                  <a:graphic>
                    <a:graphicData uri="http://schemas.openxmlformats.org/drawingml/2006/picture">
                      <pic:pic>
                        <pic:nvPicPr>
                          <pic:cNvPr descr="figure_2.jp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 greater in second clutches.</w:t>
            </w:r>
          </w:p>
          <w:bookmarkEnd w:id="81"/>
        </w:tc>
      </w:tr>
    </w:tbl>
    <w:bookmarkEnd w:id="82"/>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hyperlink" Id="rId43" Target="http://mjskay.github.io/tidybayes/"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43" Target="http://mjskay.github.io/tidybayes/"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dcterms:created xsi:type="dcterms:W3CDTF">2026-02-20T20:28:45Z</dcterms:created>
  <dcterms:modified xsi:type="dcterms:W3CDTF">2026-02-20T20:28:45Z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