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8.jpg" ContentType="image/jpeg"/>
  <Override PartName="/word/media/rId82.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Residual correlation shows that European earwigs do not trade off clutch and egg size.</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numPr>
          <w:ilvl w:val="0"/>
          <w:numId w:val="1001"/>
        </w:numPr>
      </w:pPr>
      <w:r>
        <w:t xml:space="preserve">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w:t>
      </w:r>
    </w:p>
    <w:p>
      <w:pPr>
        <w:numPr>
          <w:ilvl w:val="0"/>
          <w:numId w:val="1001"/>
        </w:numPr>
      </w:pPr>
      <w:r>
        <w:t xml:space="preserve">I addressed this issue using a multivariate mixed model to decompose the phenotypic correlation between egg number and size in wild-caught European earwigs (</w:t>
      </w:r>
      <w:r>
        <w:rPr>
          <w:i/>
          <w:iCs/>
        </w:rPr>
        <w:t xml:space="preserve">Forficula auricularia</w:t>
      </w:r>
      <w:r>
        <w:t xml:space="preserve">) into among-female and within-female (residual) components.</w:t>
      </w:r>
    </w:p>
    <w:p>
      <w:pPr>
        <w:numPr>
          <w:ilvl w:val="0"/>
          <w:numId w:val="1001"/>
        </w:numPr>
      </w:pPr>
      <w:r>
        <w:t xml:space="preserve">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w:t>
      </w:r>
    </w:p>
    <w:p>
      <w:pPr>
        <w:numPr>
          <w:ilvl w:val="0"/>
          <w:numId w:val="1001"/>
        </w:numPr>
      </w:pPr>
      <w:r>
        <w:t xml:space="preserve">Further research is needed to clarify the proximate reasons for the tendency of second clutches to have fewer and smaller eggs than first clutches, as well as to identify the proximate and ultimate causes of the greater variation in egg size in second clutches.</w:t>
      </w:r>
      <w:r>
        <w:t xml:space="preserve"> </w:t>
      </w:r>
    </w:p>
    <w:bookmarkEnd w:id="21"/>
    <w:bookmarkStart w:id="22" w:name="introduction"/>
    <w:p>
      <w:pPr>
        <w:pStyle w:val="Heading1"/>
      </w:pPr>
      <w:r>
        <w:t xml:space="preserve">Introduction</w:t>
      </w:r>
    </w:p>
    <w:p>
      <w:pPr>
        <w:pStyle w:val="FirstParagraph"/>
      </w:pPr>
      <w:r>
        <w:t xml:space="preserve">Maternal investment is allocated between offspring fitness and quantity, with larger eggs generally enhancing offspring fitness</w:t>
      </w:r>
      <w:r>
        <w:t xml:space="preserve"> </w:t>
      </w:r>
      <w:r>
        <w:t xml:space="preserve">(Clutton-Brock, 1991)</w:t>
      </w:r>
      <w:r>
        <w:t xml:space="preserve">. A limited pool of reproductive resources, therefore, requires females to balance investment between the number and quality of eggs produced during a reproductive cycle</w:t>
      </w:r>
      <w:r>
        <w:t xml:space="preserve"> </w:t>
      </w:r>
      <w:r>
        <w:t xml:space="preserve">(Fox &amp; Czesak, 2000; Roff, 1992; Smith &amp; Fretwell, 1974; see also Parker, 1982)</w:t>
      </w:r>
      <w:r>
        <w:t xml:space="preserve">. However, these traits do not always trade off against each other</w:t>
      </w:r>
      <w:r>
        <w:t xml:space="preserve"> </w:t>
      </w:r>
      <w:r>
        <w:t xml:space="preserve">(Bernardo, 1996; Cavaleiro &amp; Santos, 2014; Fox &amp; Czesak, 2000; Hargitai et al., 2005; Roff, 1992; Stearns, 1992)</w:t>
      </w:r>
      <w:r>
        <w:t xml:space="preserve">. Or at least, they do not appear to trade off. Positive correlations between traits that should otherwise covary negatively could be due to how individuals acquire resources and subsequently allocate them among competing traits</w:t>
      </w:r>
      <w:r>
        <w:t xml:space="preserve"> </w:t>
      </w:r>
      <w:r>
        <w:t xml:space="preserve">(Reznick et al., 2000)</w:t>
      </w:r>
      <w:r>
        <w:t xml:space="preserve">. Van Noordwijk and DeJong</w:t>
      </w:r>
      <w:r>
        <w:t xml:space="preserve"> </w:t>
      </w:r>
      <w:r>
        <w:t xml:space="preserve">(1986; see also Reznick et al., 2000)</w:t>
      </w:r>
      <w:r>
        <w:t xml:space="preserve"> </w:t>
      </w:r>
      <w:r>
        <w:t xml:space="preserve">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(assuming that all individuals follow a similar allocation strategy)</w:t>
      </w:r>
      <w:r>
        <w:t xml:space="preserve"> </w:t>
      </w:r>
      <w:r>
        <w:t xml:space="preserve">(i.e Simpson’s Paradox, Simpson, 1951)</w:t>
      </w:r>
      <w:r>
        <w:t xml:space="preserve">. This means that females that acquire more reproductive resources can produce more and larger eggs, but must nevertheless trade off size and number.</w:t>
      </w:r>
    </w:p>
    <w:p>
      <w:pPr>
        <w:pStyle w:val="BodyText"/>
      </w:pPr>
      <w:r>
        <w:t xml:space="preserve">Careau and Wilson</w:t>
      </w:r>
      <w:r>
        <w:t xml:space="preserve"> </w:t>
      </w:r>
      <w:r>
        <w:t xml:space="preserve">(2017)</w:t>
      </w:r>
      <w:r>
        <w:t xml:space="preserve"> </w:t>
      </w:r>
      <w:r>
        <w:t xml:space="preserve">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within-individual correlations. To my knowledge, no study has yet adopted this approach to show that females indeed trade off egg number and size, despite these traits positively correlating across a population of females. I use the approach of Careau and Wilson</w:t>
      </w:r>
      <w:r>
        <w:t xml:space="preserve"> </w:t>
      </w:r>
      <w:r>
        <w:t xml:space="preserve">(2017)</w:t>
      </w:r>
      <w:r>
        <w:t xml:space="preserve"> </w:t>
      </w:r>
      <w:r>
        <w:t xml:space="preserve">here to test the hypothesis that European earwigs (</w:t>
      </w:r>
      <w:r>
        <w:rPr>
          <w:i/>
          <w:iCs/>
        </w:rPr>
        <w:t xml:space="preserve">Forficula auricularia</w:t>
      </w:r>
      <w:r>
        <w:t xml:space="preserve">) trade off clutch and egg size.</w:t>
      </w:r>
      <w:r>
        <w:t xml:space="preserve"> </w:t>
      </w:r>
      <w:r>
        <w:rPr>
          <w:i/>
          <w:iCs/>
        </w:rPr>
        <w:t xml:space="preserve">F. auricularia</w:t>
      </w:r>
      <w:r>
        <w:t xml:space="preserve"> </w:t>
      </w:r>
      <w:r>
        <w:t xml:space="preserve">is an ideal insect for testing this hypothesis because females lay a single clutch of eggs in a subterranean burrow within a short period of time (i.e. hours)</w:t>
      </w:r>
      <w:r>
        <w:t xml:space="preserve"> </w:t>
      </w:r>
      <w:r>
        <w:t xml:space="preserve">(Meunier, 2024)</w:t>
      </w:r>
      <w:r>
        <w:t xml:space="preserve">. Females care for eggs and the nymphs for up to 2 weeks post-hatching</w:t>
      </w:r>
      <w:r>
        <w:t xml:space="preserve"> </w:t>
      </w:r>
      <w:r>
        <w:t xml:space="preserve">(Meunier, 2024; Staerkle &amp; Kölliker, 2008)</w:t>
      </w:r>
      <w:r>
        <w:t xml:space="preserve">. Earwigs in Quebec, Canada, are semelparous because the harsh environmental conditions extend the incubation and egg-care period beyond the point at which a second clutch is possible</w:t>
      </w:r>
      <w:r>
        <w:t xml:space="preserve"> </w:t>
      </w:r>
      <w:r>
        <w:t xml:space="preserve">(Tourneur, 2018)</w:t>
      </w:r>
      <w:r>
        <w:t xml:space="preserve">.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w:t>
      </w:r>
      <w:r>
        <w:t xml:space="preserve"> </w:t>
      </w:r>
      <w:r>
        <w:t xml:space="preserve">(e.g., Smith &amp; Fretwell, 1974)</w:t>
      </w:r>
      <w:r>
        <w:t xml:space="preserve">. If so, one trait should not differ between clutches (e.g., egg number), whereas the other (e.g., egg size) is adjusted accordingly</w:t>
      </w:r>
      <w:r>
        <w:t xml:space="preserve"> </w:t>
      </w:r>
      <w:r>
        <w:t xml:space="preserve">(Winkler &amp; Wallin, 1987)</w:t>
      </w:r>
      <w:r>
        <w:t xml:space="preserve">.Alternatively, females laying a second clutch may recognise their low residual reproductive value and, consequently, terminally invest in current reproduction by producing either more or larger eggs in this clutch</w:t>
      </w:r>
      <w:r>
        <w:t xml:space="preserve"> </w:t>
      </w:r>
      <w:r>
        <w:t xml:space="preserve">(Clutton-Brock, 1984)</w:t>
      </w:r>
      <w:r>
        <w:t xml:space="preserve">. Finally, I explore whether eggs in first and second clutches differ in their size variation at the among- and within-female (clutch) levels</w:t>
      </w:r>
      <w:r>
        <w:t xml:space="preserve"> </w:t>
      </w:r>
      <w:r>
        <w:t xml:space="preserve">(e.g. Hargitai et al., 2005)</w:t>
      </w:r>
      <w:r>
        <w:t xml:space="preserve">.</w:t>
      </w:r>
    </w:p>
    <w:bookmarkEnd w:id="22"/>
    <w:bookmarkStart w:id="24" w:name="methods"/>
    <w:p>
      <w:pPr>
        <w:pStyle w:val="Heading1"/>
      </w:pPr>
      <w:r>
        <w:t xml:space="preserve">Methods</w:t>
      </w:r>
    </w:p>
    <w:p>
      <w:pPr>
        <w:pStyle w:val="FirstParagraph"/>
      </w:pPr>
      <w:r>
        <w:t xml:space="preserve">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pPr>
        <w:pStyle w:val="BodyText"/>
      </w:pPr>
      <w:r>
        <w:t xml:space="preserve">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Females were then weighed to the nearest 0.01 mg using a Sartorius Secura 224-1S analytical balance. Females were weighed three times, with each weighing bout separated by four days. I used Fiji image analysis software</w:t>
      </w:r>
      <w:r>
        <w:t xml:space="preserve"> </w:t>
      </w:r>
      <w:r>
        <w:t xml:space="preserve">(Schindelin et al., 2012)</w:t>
      </w:r>
      <w:r>
        <w:t xml:space="preserve"> </w:t>
      </w:r>
      <w:r>
        <w:t xml:space="preserve">to measure the length of the female pronotum and the perimeter of each egg to the nearest 0.001 mm. Both traits were measured three times, with each measurement separated by 4 days.</w:t>
      </w:r>
    </w:p>
    <w:bookmarkStart w:id="23" w:name="statistical-analysis"/>
    <w:p>
      <w:pPr>
        <w:pStyle w:val="Heading3"/>
      </w:pPr>
      <w:r>
        <w:t xml:space="preserve">Statistical analysis</w:t>
      </w:r>
    </w:p>
    <w:p>
      <w:pPr>
        <w:pStyle w:val="FirstParagraph"/>
      </w:pPr>
      <w:r>
        <w:t xml:space="preserve">I calculated the repeatability of the body mass, pronotum length and egg perimeter measurements using the R package</w:t>
      </w:r>
      <w:r>
        <w:t xml:space="preserve"> </w:t>
      </w:r>
      <w:r>
        <w:rPr>
          <w:i/>
          <w:iCs/>
        </w:rPr>
        <w:t xml:space="preserve">rptR</w:t>
      </w:r>
      <w:r>
        <w:t xml:space="preserve"> </w:t>
      </w:r>
      <w:r>
        <w:t xml:space="preserve">(Stoffel et al., 2017)</w:t>
      </w:r>
      <w:r>
        <w:t xml:space="preserve">. I entered the trait of interest as the response variable, female ID as a random effect, and assumed a Gaussian distribution. Each analysis was based on 1000 bootstrap samples. Because the measurements of my three traits were highly repeatable (pronotum length:</w:t>
      </w:r>
      <w:r>
        <w:t xml:space="preserve"> </w:t>
      </w:r>
      <w:r>
        <w:rPr>
          <w:i/>
          <w:iCs/>
        </w:rPr>
        <w:t xml:space="preserve">R</w:t>
      </w:r>
      <w:r>
        <w:t xml:space="preserve"> </w:t>
      </w:r>
      <w:r>
        <w:t xml:space="preserve">[95% CI] = 0.98 [0.97, 0.99]; body mass:</w:t>
      </w:r>
      <w:r>
        <w:t xml:space="preserve"> </w:t>
      </w:r>
      <w:r>
        <w:rPr>
          <w:i/>
          <w:iCs/>
        </w:rPr>
        <w:t xml:space="preserve">R</w:t>
      </w:r>
      <w:r>
        <w:t xml:space="preserve"> </w:t>
      </w:r>
      <w:r>
        <w:t xml:space="preserve">[95% CI] = 0.99 [0.988, 0.996]; egg perimeter in the first brood:</w:t>
      </w:r>
      <w:r>
        <w:t xml:space="preserve"> </w:t>
      </w:r>
      <w:r>
        <w:rPr>
          <w:i/>
          <w:iCs/>
        </w:rPr>
        <w:t xml:space="preserve">R</w:t>
      </w:r>
      <w:r>
        <w:t xml:space="preserve"> </w:t>
      </w:r>
      <w:r>
        <w:t xml:space="preserve">[95% CI] = 0.977 [0.976, 0.979] and in the second brood:</w:t>
      </w:r>
      <w:r>
        <w:t xml:space="preserve"> </w:t>
      </w:r>
      <w:r>
        <w:rPr>
          <w:i/>
          <w:iCs/>
        </w:rPr>
        <w:t xml:space="preserve">R</w:t>
      </w:r>
      <w:r>
        <w:t xml:space="preserve"> </w:t>
      </w:r>
      <w:r>
        <w:t xml:space="preserve">[95% CI] = 0.93 [0.926, 0.937] ). I used each female’s mean value for each trait in all subsequent analyses.</w:t>
      </w:r>
    </w:p>
    <w:p>
      <w:pPr>
        <w:pStyle w:val="BodyText"/>
      </w:pPr>
      <w:r>
        <w:t xml:space="preserve">I reduced the two measurements representing body size (pronotum length and body mass) to a single value (PC1) by performing a principal components analysis (PCA) on the correlation matrix of standardized measurements using the</w:t>
      </w:r>
      <w:r>
        <w:t xml:space="preserve"> </w:t>
      </w:r>
      <w:r>
        <w:rPr>
          <w:i/>
          <w:iCs/>
        </w:rPr>
        <w:t xml:space="preserve">prcomp</w:t>
      </w:r>
      <w:r>
        <w:t xml:space="preserve"> </w:t>
      </w:r>
      <w:r>
        <w:t xml:space="preserve">function in the stats package in R</w:t>
      </w:r>
      <w:r>
        <w:t xml:space="preserve"> </w:t>
      </w:r>
      <w:r>
        <w:t xml:space="preserve">(R Core Team, 2025)</w:t>
      </w:r>
      <w:r>
        <w:t xml:space="preserve">. The first PC accounted for 60.8% of the variation. I also standardised female body mass relative to body size using the scaled mass index procedure of Peig and Green</w:t>
      </w:r>
      <w:r>
        <w:t xml:space="preserve"> </w:t>
      </w:r>
      <w:r>
        <w:t xml:space="preserve">(2009, 2010; see also Kelly et al., 2014)</w:t>
      </w:r>
      <w:r>
        <w:t xml:space="preserve">.</w:t>
      </w:r>
    </w:p>
    <w:p>
      <w:pPr>
        <w:pStyle w:val="BodyText"/>
      </w:pPr>
      <w:r>
        <w:t xml:space="preserve">I tested the prediction that egg number and egg size trade off within females using a Bayesian multivariate linear mixed-effects model (</w:t>
      </w:r>
      <w:r>
        <w:rPr>
          <w:i/>
          <w:iCs/>
        </w:rPr>
        <w:t xml:space="preserve">brms</w:t>
      </w:r>
      <w:r>
        <w:t xml:space="preserve"> </w:t>
      </w:r>
      <w:r>
        <w:t xml:space="preserve">package,</w:t>
      </w:r>
      <w:r>
        <w:t xml:space="preserve"> </w:t>
      </w:r>
      <w:r>
        <w:t xml:space="preserve">Bürkner (2017)</w:t>
      </w:r>
      <w:r>
        <w:t xml:space="preserve">). Egg number and egg perimeter were entered as scaled response variables, and</w:t>
      </w:r>
      <w:r>
        <w:t xml:space="preserve"> </w:t>
      </w:r>
      <w:r>
        <w:rPr>
          <w:i/>
          <w:iCs/>
        </w:rPr>
        <w:t xml:space="preserve">res_cor</w:t>
      </w:r>
      <w:r>
        <w:t xml:space="preserve"> </w:t>
      </w:r>
      <w:r>
        <w:t xml:space="preserve">was set to TRUE to estimate the within-individual (residual) correlation (</w:t>
      </w:r>
      <w:r>
        <w:rPr>
          <w:i/>
          <w:iCs/>
        </w:rPr>
        <w:t xml:space="preserve">r</w:t>
      </w:r>
      <w:r>
        <w:rPr>
          <w:vertAlign w:val="subscript"/>
        </w:rPr>
        <w:t xml:space="preserve">within</w:t>
      </w:r>
      <w:r>
        <w:t xml:space="preserve">)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scaled mass as a continuous covariate because body size generally correlates with fecundity in insects</w:t>
      </w:r>
      <w:r>
        <w:t xml:space="preserve"> </w:t>
      </w:r>
      <w:r>
        <w:t xml:space="preserve">(Honek, 1993)</w:t>
      </w:r>
      <w:r>
        <w:t xml:space="preserve">. Female ID was included as a random effect via the term (1|a|id), ensuring that random effects were correlated within each female. I assessed which of the four measures of female body size (pronotum length, body mass, PC1, or scaled mass) provided the greatest explanatory power by running three models, each with a different measure, and then comparing them, in addition to a null model without a size measure, using leave-one-out cross-validation (LOO)</w:t>
      </w:r>
      <w:r>
        <w:t xml:space="preserve"> </w:t>
      </w:r>
      <w:r>
        <w:t xml:space="preserve">(Vehtari et al., 2017)</w:t>
      </w:r>
      <w:r>
        <w:t xml:space="preserve">. Pronotum length, body mass, and scaled mass were scaled (mean = 0, sd = 1) before analysis. The model that included pronotum length as a continuous covariate provided the best fit (Expected Log Predictive Density (ELPD) = -6749.35). I report the among- (</w:t>
      </w:r>
      <w:r>
        <w:rPr>
          <w:i/>
          <w:iCs/>
        </w:rPr>
        <w:t xml:space="preserve">r</w:t>
      </w:r>
      <w:r>
        <w:rPr>
          <w:vertAlign w:val="subscript"/>
        </w:rPr>
        <w:t xml:space="preserve">among</w:t>
      </w:r>
      <w:r>
        <w:t xml:space="preserve">) and within- (residual,</w:t>
      </w:r>
      <w:r>
        <w:t xml:space="preserve"> </w:t>
      </w:r>
      <w:r>
        <w:rPr>
          <w:i/>
          <w:iCs/>
        </w:rPr>
        <w:t xml:space="preserve">r</w:t>
      </w:r>
      <w:r>
        <w:rPr>
          <w:vertAlign w:val="subscript"/>
        </w:rPr>
        <w:t xml:space="preserve">within</w:t>
      </w:r>
      <w:r>
        <w:t xml:space="preserve">) female correlations and associated 95% credible intervals (CrIs) from the model and sum these two values to estimate the phenotypic correlation (</w:t>
      </w:r>
      <w:r>
        <w:rPr>
          <w:i/>
          <w:iCs/>
        </w:rPr>
        <w:t xml:space="preserve">r</w:t>
      </w:r>
      <w:r>
        <w:rPr>
          <w:vertAlign w:val="subscript"/>
        </w:rPr>
        <w:t xml:space="preserve">p</w:t>
      </w:r>
      <w:r>
        <w:t xml:space="preserve">) and its associated 95% CrI.</w:t>
      </w:r>
    </w:p>
    <w:p>
      <w:pPr>
        <w:pStyle w:val="BodyText"/>
      </w:pPr>
      <w:r>
        <w:t xml:space="preserve">I examined whether the first and second clutches of eggs differed in egg size variation among (</w:t>
      </w:r>
      <w:r>
        <w:rPr>
          <w:i/>
          <w:iCs/>
        </w:rPr>
        <w:t xml:space="preserve">V</w:t>
      </w:r>
      <w:r>
        <w:rPr>
          <w:vertAlign w:val="subscript"/>
        </w:rPr>
        <w:t xml:space="preserve">among</w:t>
      </w:r>
      <w:r>
        <w:t xml:space="preserve">) and within (</w:t>
      </w:r>
      <w:r>
        <w:rPr>
          <w:i/>
          <w:iCs/>
        </w:rPr>
        <w:t xml:space="preserve">V</w:t>
      </w:r>
      <w:r>
        <w:rPr>
          <w:vertAlign w:val="subscript"/>
        </w:rPr>
        <w:t xml:space="preserve">within</w:t>
      </w:r>
      <w:r>
        <w:t xml:space="preserve">) females by constructing a univariate hierarchical linear mixed-effects 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tested whether the first and second clutch differed in egg size at the among- and within-female levels.</w:t>
      </w:r>
    </w:p>
    <w:p>
      <w:pPr>
        <w:pStyle w:val="BodyText"/>
      </w:pPr>
      <w:r>
        <w:t xml:space="preserve">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bookmarkEnd w:id="23"/>
    <w:bookmarkEnd w:id="24"/>
    <w:bookmarkStart w:id="25" w:name="results"/>
    <w:p>
      <w:pPr>
        <w:pStyle w:val="Heading1"/>
      </w:pPr>
      <w:r>
        <w:t xml:space="preserve">Results</w:t>
      </w:r>
    </w:p>
    <w:p>
      <w:pPr>
        <w:pStyle w:val="FirstParagraph"/>
      </w:pPr>
      <w:r>
        <w:t xml:space="preserve">I did not support the prediction that egg number and egg size positively correlate either phenotypically (</w:t>
      </w:r>
      <w:r>
        <w:rPr>
          <w:i/>
          <w:iCs/>
        </w:rPr>
        <w:t xml:space="preserve">r</w:t>
      </w:r>
      <w:r>
        <w:rPr>
          <w:vertAlign w:val="subscript"/>
        </w:rPr>
        <w:t xml:space="preserve">p</w:t>
      </w:r>
      <w:r>
        <w:t xml:space="preserve"> </w:t>
      </w:r>
      <w:r>
        <w:t xml:space="preserve">[95% CrI] = -0.08 [-0.36, 0.22];</w:t>
      </w:r>
      <w:r>
        <w:t xml:space="preserve"> </w:t>
      </w:r>
      <w:hyperlink w:anchor="fig-one">
        <w:r>
          <w:rPr>
            <w:rStyle w:val="Hyperlink"/>
          </w:rPr>
          <w:t xml:space="preserve">Figure 1</w:t>
        </w:r>
      </w:hyperlink>
      <w:r>
        <w:t xml:space="preserve">) or among females (</w:t>
      </w:r>
      <w:r>
        <w:rPr>
          <w:i/>
          <w:iCs/>
        </w:rPr>
        <w:t xml:space="preserve">r</w:t>
      </w:r>
      <w:r>
        <w:rPr>
          <w:vertAlign w:val="subscript"/>
        </w:rPr>
        <w:t xml:space="preserve">among</w:t>
      </w:r>
      <w:r>
        <w:t xml:space="preserve"> </w:t>
      </w:r>
      <w:r>
        <w:t xml:space="preserve">[95% CrI] = -0.13 [-0.41, 0.17]). Contrary to prediction, egg number and size were positively, rather than negatively, correlated at the within-individual level (</w:t>
      </w:r>
      <w:r>
        <w:rPr>
          <w:i/>
          <w:iCs/>
        </w:rPr>
        <w:t xml:space="preserve">r</w:t>
      </w:r>
      <w:r>
        <w:rPr>
          <w:vertAlign w:val="subscript"/>
        </w:rPr>
        <w:t xml:space="preserve">within</w:t>
      </w:r>
      <w:r>
        <w:t xml:space="preserve"> </w:t>
      </w:r>
      <w:r>
        <w:t xml:space="preserve">[95% CrI] = 0.06 [0.03, 0.09]).</w:t>
      </w:r>
    </w:p>
    <w:p>
      <w:pPr>
        <w:pStyle w:val="BodyText"/>
      </w:pPr>
      <w:r>
        <w:t xml:space="preserve">I found that second clutches (</w:t>
      </w:r>
      <m:oMath>
        <m:acc>
          <m:accPr>
            <m:chr m:val="‾"/>
          </m:accPr>
          <m:e>
            <m:r>
              <m:t>x</m:t>
            </m:r>
          </m:e>
        </m:acc>
      </m:oMath>
      <w:r>
        <w:t xml:space="preserve"> </w:t>
      </w:r>
      <w:r>
        <w:t xml:space="preserve">= 34.14 ± 17.17 eggs, range: 1 - 69 eggs, n = 42 clutches) were, on average, smaller than first clutches (</w:t>
      </w:r>
      <m:oMath>
        <m:acc>
          <m:accPr>
            <m:chr m:val="‾"/>
          </m:accPr>
          <m:e>
            <m:r>
              <m:t>x</m:t>
            </m:r>
          </m:e>
        </m:acc>
      </m:oMath>
      <w:r>
        <w:t xml:space="preserve"> </w:t>
      </w:r>
      <w:r>
        <w:t xml:space="preserve">= 51.55 ± 16.13 eggs, range: 21 - 86 eggs, n = 42 clutches; multivariate mixed model: Estimate [95% CrI] = -0.68 [-0.73, -0.63]). Similarly, egg size was smaller, on average, in second clutches (</w:t>
      </w:r>
      <m:oMath>
        <m:acc>
          <m:accPr>
            <m:chr m:val="‾"/>
          </m:accPr>
          <m:e>
            <m:r>
              <m:t>x</m:t>
            </m:r>
          </m:e>
        </m:acc>
      </m:oMath>
      <w:r>
        <w:t xml:space="preserve"> </w:t>
      </w:r>
      <w:r>
        <w:t xml:space="preserve">= 3.41 ± 0.20 mm, range: 3.11 - 4.11 mm) versus first clutches (</w:t>
      </w:r>
      <m:oMath>
        <m:acc>
          <m:accPr>
            <m:chr m:val="‾"/>
          </m:accPr>
          <m:e>
            <m:r>
              <m:t>x</m:t>
            </m:r>
          </m:e>
        </m:acc>
      </m:oMath>
      <w:r>
        <w:t xml:space="preserve"> </w:t>
      </w:r>
      <w:r>
        <w:t xml:space="preserve">=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Pr>
          <w:i/>
          <w:iCs/>
        </w:rPr>
        <w:t xml:space="preserve">R</w:t>
      </w:r>
      <w:r>
        <w:t xml:space="preserve"> </w:t>
      </w:r>
      <w:r>
        <w:t xml:space="preserve">[95% CI] = 0.40 [0.21, 0.57]) while clutch size did not (</w:t>
      </w:r>
      <w:r>
        <w:rPr>
          <w:i/>
          <w:iCs/>
        </w:rPr>
        <w:t xml:space="preserve">R</w:t>
      </w:r>
      <w:r>
        <w:t xml:space="preserve"> </w:t>
      </w:r>
      <w:r>
        <w:t xml:space="preserve">= 0.03 [0.0, 0.32]).###</w:t>
      </w:r>
    </w:p>
    <w:p>
      <w:pPr>
        <w:pStyle w:val="BodyText"/>
      </w:pPr>
      <w:r>
        <w:t xml:space="preserve">There was no difference in egg size variation between first and second clutches among females (</w:t>
      </w:r>
      <m:oMath>
        <m:r>
          <m:t>Δ</m:t>
        </m:r>
      </m:oMath>
      <w:r>
        <w:rPr>
          <w:i/>
          <w:iCs/>
        </w:rPr>
        <w:t xml:space="preserve">V</w:t>
      </w:r>
      <w:r>
        <w:rPr>
          <w:vertAlign w:val="subscript"/>
        </w:rPr>
        <w:t xml:space="preserve">among</w:t>
      </w:r>
      <w:r>
        <w:t xml:space="preserve"> </w:t>
      </w:r>
      <w:r>
        <w:t xml:space="preserve">[95% CrI] = 0.11 [-0.39, 0.65];</w:t>
      </w:r>
      <w:r>
        <w:t xml:space="preserve"> </w:t>
      </w:r>
      <w:hyperlink w:anchor="fig-two">
        <w:r>
          <w:rPr>
            <w:rStyle w:val="Hyperlink"/>
          </w:rPr>
          <w:t xml:space="preserve">Figure 2</w:t>
        </w:r>
      </w:hyperlink>
      <w:r>
        <w:t xml:space="preserve">) but within-clutch egg size variation was smaller in first than in second clutches (</w:t>
      </w:r>
      <m:oMath>
        <m:r>
          <m:t>Δ</m:t>
        </m:r>
      </m:oMath>
      <w:r>
        <w:rPr>
          <w:i/>
          <w:iCs/>
        </w:rPr>
        <w:t xml:space="preserve">V</w:t>
      </w:r>
      <w:r>
        <w:rPr>
          <w:vertAlign w:val="subscript"/>
        </w:rPr>
        <w:t xml:space="preserve">within</w:t>
      </w:r>
      <w:r>
        <w:t xml:space="preserve"> </w:t>
      </w:r>
      <w:r>
        <w:t xml:space="preserve">[95% CrI] = -0.15 [-0.18, -0.12];</w:t>
      </w:r>
      <w:r>
        <w:t xml:space="preserve"> </w:t>
      </w:r>
      <w:hyperlink w:anchor="fig-two">
        <w:r>
          <w:rPr>
            <w:rStyle w:val="Hyperlink"/>
          </w:rPr>
          <w:t xml:space="preserve">Figure 2</w:t>
        </w:r>
      </w:hyperlink>
      <w:r>
        <w:t xml:space="preserve">). Within-clutch egg size variation (i.e. standard deviation of egg size per clutch) was related to clutch size in first (</w:t>
      </w:r>
      <m:oMath>
        <m:r>
          <m:t>ρ</m:t>
        </m:r>
      </m:oMath>
      <w:r>
        <w:t xml:space="preserve"> </w:t>
      </w:r>
      <w:r>
        <w:t xml:space="preserve">= 0.36, p=0.020) but not in second (</w:t>
      </w:r>
      <m:oMath>
        <m:r>
          <m:t>ρ</m:t>
        </m:r>
      </m:oMath>
      <w:r>
        <w:t xml:space="preserve"> </w:t>
      </w:r>
      <w:r>
        <w:t xml:space="preserve">= -0.14, p=0.401) clutches.</w:t>
      </w:r>
    </w:p>
    <w:bookmarkEnd w:id="25"/>
    <w:bookmarkStart w:id="26" w:name="discussion"/>
    <w:p>
      <w:pPr>
        <w:pStyle w:val="Heading1"/>
      </w:pPr>
      <w:r>
        <w:t xml:space="preserve">Discussion</w:t>
      </w:r>
    </w:p>
    <w:p>
      <w:pPr>
        <w:pStyle w:val="FirstParagraph"/>
      </w:pPr>
      <w:r>
        <w:t xml:space="preserve">My multivariate repeated-measures analysis of clutch and egg size found no evidence that female European earwigs trade off egg number and egg size. Despite failing to support general life history theory</w:t>
      </w:r>
      <w:r>
        <w:t xml:space="preserve"> </w:t>
      </w:r>
      <w:r>
        <w:t xml:space="preserve">(Roff, 1992; Stearns, 1992)</w:t>
      </w:r>
      <w:r>
        <w:t xml:space="preserve"> </w:t>
      </w:r>
      <w:r>
        <w:t xml:space="preserve">and contradicting the results of a previous study in this species</w:t>
      </w:r>
      <w:r>
        <w:t xml:space="preserve"> </w:t>
      </w:r>
      <w:r>
        <w:t xml:space="preserve">(Koch &amp; Meunier, 2014)</w:t>
      </w:r>
      <w:r>
        <w:t xml:space="preserve">, it is the first, to my knowledge, to partition the phenotypic correlation between egg number and size into its among- and within-individual components. Although many studies have supported the prediction that egg number and size trade off, some have not</w:t>
      </w:r>
      <w:r>
        <w:t xml:space="preserve"> </w:t>
      </w:r>
      <w:r>
        <w:t xml:space="preserve">(Fox &amp; Czesak, 2000; Roff, 1992)</w:t>
      </w:r>
      <w:r>
        <w:t xml:space="preserve">.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w:t>
      </w:r>
      <w:r>
        <w:t xml:space="preserve"> </w:t>
      </w:r>
      <w:r>
        <w:t xml:space="preserve">(- Koch &amp; Meunier, 2014)</w:t>
      </w:r>
      <w:r>
        <w:t xml:space="preserve"> </w:t>
      </w:r>
      <w:r>
        <w:t xml:space="preserve">showed that, in an Italian population of</w:t>
      </w:r>
      <w:r>
        <w:t xml:space="preserve"> </w:t>
      </w:r>
      <w:r>
        <w:rPr>
          <w:i/>
          <w:iCs/>
        </w:rPr>
        <w:t xml:space="preserve">F. auricularia</w:t>
      </w:r>
      <w:r>
        <w:t xml:space="preserve">,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w:t>
      </w:r>
      <w:r>
        <w:t xml:space="preserve"> </w:t>
      </w:r>
      <w:r>
        <w:t xml:space="preserve">(Simpson, 1951)</w:t>
      </w:r>
      <w:r>
        <w:t xml:space="preserve"> </w:t>
      </w:r>
      <w:r>
        <w:t xml:space="preserve">and spurious correlations because within-individual relationships are masked by among-individual variation. Indeed, I also observed a negative, albeit weaker, correlation at the phenotypic level. However, by partitioning the variance into its among- and within-individual components, I found that females do not make the predicted trade-off. Rather, I found evidence that egg number and size are positively correlated within females.</w:t>
      </w:r>
    </w:p>
    <w:p>
      <w:pPr>
        <w:pStyle w:val="BodyText"/>
      </w:pPr>
      <w:r>
        <w:t xml:space="preserve">My study revealed that second clutches comprised, on average, fewer and smaller eggs than first clutches, which can be explained at both the proximate and ultimate levels of causation. My findings are consistent with those of another study on a Montreal population</w:t>
      </w:r>
      <w:r>
        <w:t xml:space="preserve"> </w:t>
      </w:r>
      <w:r>
        <w:t xml:space="preserve">(Tourneur &amp; Gingras, 1992)</w:t>
      </w:r>
      <w:r>
        <w:t xml:space="preserve"> </w:t>
      </w:r>
      <w:r>
        <w:t xml:space="preserve">and with one involving an Italian population</w:t>
      </w:r>
      <w:r>
        <w:t xml:space="preserve"> </w:t>
      </w:r>
      <w:r>
        <w:t xml:space="preserve">(Koch &amp; Meunier, 2014)</w:t>
      </w:r>
      <w:r>
        <w:t xml:space="preserve">. Tourneur and Gingras</w:t>
      </w:r>
      <w:r>
        <w:t xml:space="preserve"> </w:t>
      </w:r>
      <w:r>
        <w:t xml:space="preserve">(1992)</w:t>
      </w:r>
      <w:r>
        <w:t xml:space="preserve"> </w:t>
      </w:r>
      <w:r>
        <w:t xml:space="preserve">proximally attributed the fewer, smaller eggs in second clutches to ovarian structure and function in</w:t>
      </w:r>
      <w:r>
        <w:t xml:space="preserve"> </w:t>
      </w:r>
      <w:r>
        <w:rPr>
          <w:i/>
          <w:iCs/>
        </w:rPr>
        <w:t xml:space="preserve">F. auricularia</w:t>
      </w:r>
      <w:r>
        <w:t xml:space="preserve">. Specifically, they suggested that second clutches are smaller than first ones 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females had a 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fewer resources equally to each functional ovariole during their second bout of oogenesis, females produced fewer and smaller eggs than in their first clutches. This proximate explanation assumes that females use a resource-allocation strategy for eggs that does not vary across their clutches.</w:t>
      </w:r>
    </w:p>
    <w:p>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w:t>
      </w:r>
      <w:r>
        <w:t xml:space="preserve"> </w:t>
      </w:r>
      <w:r>
        <w:t xml:space="preserve">(e.g. birds: Williams, 1994; amphibians: Ficetola &amp; De Bernardi, 2009; reptiles: Nelson et al., 2004; fish: Einum &amp; Fleming, 2000)</w:t>
      </w:r>
      <w:r>
        <w:t xml:space="preserve">. Although this does not appear to be the typical case in insects</w:t>
      </w:r>
      <w:r>
        <w:t xml:space="preserve"> </w:t>
      </w:r>
      <w:r>
        <w:t xml:space="preserve">(Church et al., 2019)</w:t>
      </w:r>
      <w:r>
        <w:t xml:space="preserve">, larger eggs are more likely to hatch and to produce larger nymphs in</w:t>
      </w:r>
      <w:r>
        <w:t xml:space="preserve"> </w:t>
      </w:r>
      <w:r>
        <w:rPr>
          <w:i/>
          <w:iCs/>
        </w:rPr>
        <w:t xml:space="preserve">F. auricularia</w:t>
      </w:r>
      <w:r>
        <w:t xml:space="preserve"> </w:t>
      </w:r>
      <w:r>
        <w:t xml:space="preserve">(Koch &amp; Meunier, 2014)</w:t>
      </w:r>
      <w:r>
        <w:t xml:space="preserve">, so egg size appears to ultimately have some positive fitness effects for the mother and offspring in this species. Therefore, the smaller earwig eggs in the second clutch by female</w:t>
      </w:r>
      <w:r>
        <w:t xml:space="preserve"> </w:t>
      </w:r>
      <w:r>
        <w:rPr>
          <w:i/>
          <w:iCs/>
        </w:rPr>
        <w:t xml:space="preserve">F. auricularia</w:t>
      </w:r>
      <w:r>
        <w:t xml:space="preserve"> </w:t>
      </w:r>
      <w:r>
        <w:t xml:space="preserve">might have reduced fitness, except for two extenuating factors. First, maternal care in this species likely improves the survival chances of smaller eggs</w:t>
      </w:r>
      <w:r>
        <w:t xml:space="preserve"> </w:t>
      </w:r>
      <w:r>
        <w:t xml:space="preserve">(Boos et al., 2014; e.g., Kölliker, 2007)</w:t>
      </w:r>
      <w:r>
        <w:t xml:space="preserve">, and the poor outcomes commonly associated with smaller nymphs might be mitigated by maternal provisioning</w:t>
      </w:r>
      <w:r>
        <w:t xml:space="preserve"> </w:t>
      </w:r>
      <w:r>
        <w:t xml:space="preserve">(Staerkle &amp; Kölliker, 2008)</w:t>
      </w:r>
      <w:r>
        <w:t xml:space="preserve">. Second, smaller eggs tend to hatch faster as development time is positively related to egg size across animal species</w:t>
      </w:r>
      <w:r>
        <w:t xml:space="preserve"> </w:t>
      </w:r>
      <w:r>
        <w:t xml:space="preserve">(Shine, 1978)</w:t>
      </w:r>
      <w:r>
        <w:t xml:space="preserve">. This would be advantageous if a second clutch is produced later in the reproductive season, such as mid-winter, because it would mean the eggs would hatch at a time of year (e.g., late-winter) that allows nymphs to emerge at an optimal time in spring. Empirical evidence, however, suggests that time-to-hatch is unrelated to egg mass in at least one (Italian) population of</w:t>
      </w:r>
      <w:r>
        <w:t xml:space="preserve"> </w:t>
      </w:r>
      <w:r>
        <w:rPr>
          <w:i/>
          <w:iCs/>
        </w:rPr>
        <w:t xml:space="preserve">F. auricularia</w:t>
      </w:r>
      <w:r>
        <w:t xml:space="preserve"> </w:t>
      </w:r>
      <w:r>
        <w:t xml:space="preserve">(Koch &amp; Meunier, 2014)</w:t>
      </w:r>
      <w:r>
        <w:t xml:space="preserve">.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between clutch and egg size suggests that variance in resource allocation may exceed variance in resource acquisition in this population of earwigs</w:t>
      </w:r>
      <w:r>
        <w:t xml:space="preserve"> </w:t>
      </w:r>
      <w:r>
        <w:t xml:space="preserve">(see Careau &amp; Wilson, 2017)</w:t>
      </w:r>
      <w:r>
        <w:t xml:space="preserve">. In other words, some female earwigs in my study population might prioritise investment in egg number versus egg size and vice versa. Taken together, my results resemble Careau and Wilson’s</w:t>
      </w:r>
      <w:r>
        <w:t xml:space="preserve"> </w:t>
      </w:r>
      <w:r>
        <w:t xml:space="preserve">(2017)</w:t>
      </w:r>
      <w:r>
        <w:t xml:space="preserve"> </w:t>
      </w:r>
      <w:r>
        <w:t xml:space="preserve">“sink or swim”</w:t>
      </w:r>
      <w:r>
        <w:t xml:space="preserve"> </w:t>
      </w:r>
      <w:r>
        <w:t xml:space="preserve">scenario, which is generally reserved for performance trade-offs. That is, females in my population of earwigs might ultimately produce an among-female (albeit weak) trade-off due to differences among females in how they allocate resources to clutch and egg size, with some females prioritising egg number over size, while also producing a positive residual correlation due to a combination of ovary (dis)function, and the equal apportionment of fewer resources to eggs. Further research is needed to identify the proximate mechanisms underlying the observed multilevel correlation patterns.</w:t>
      </w:r>
    </w:p>
    <w:p>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w:t>
      </w:r>
      <w:r>
        <w:t xml:space="preserve"> </w:t>
      </w:r>
      <w:r>
        <w:t xml:space="preserve">(e.g. Falconer &amp; MacKay, 1996)</w:t>
      </w:r>
      <w:r>
        <w:t xml:space="preserve">. This would not be surprising as egg size has been demonstrated to be significantly heritable in a variety of insect species, including</w:t>
      </w:r>
      <w:r>
        <w:t xml:space="preserve"> </w:t>
      </w:r>
      <w:r>
        <w:rPr>
          <w:i/>
          <w:iCs/>
        </w:rPr>
        <w:t xml:space="preserve">Callosobruchus chinensis</w:t>
      </w:r>
      <w:r>
        <w:t xml:space="preserve"> </w:t>
      </w:r>
      <w:r>
        <w:t xml:space="preserve">seed beetles</w:t>
      </w:r>
      <w:r>
        <w:t xml:space="preserve"> </w:t>
      </w:r>
      <w:r>
        <w:t xml:space="preserve">(Yanagi et al., 2006)</w:t>
      </w:r>
      <w:r>
        <w:t xml:space="preserve">,</w:t>
      </w:r>
      <w:r>
        <w:t xml:space="preserve"> </w:t>
      </w:r>
      <w:r>
        <w:rPr>
          <w:i/>
          <w:iCs/>
        </w:rPr>
        <w:t xml:space="preserve">Parnara guttata guttata</w:t>
      </w:r>
      <w:r>
        <w:t xml:space="preserve"> </w:t>
      </w:r>
      <w:r>
        <w:t xml:space="preserve">butterflies</w:t>
      </w:r>
      <w:r>
        <w:t xml:space="preserve"> </w:t>
      </w:r>
      <w:r>
        <w:t xml:space="preserve">(Seko et al., 2006)</w:t>
      </w:r>
      <w:r>
        <w:t xml:space="preserve">,</w:t>
      </w:r>
      <w:r>
        <w:t xml:space="preserve"> </w:t>
      </w:r>
      <w:r>
        <w:rPr>
          <w:i/>
          <w:iCs/>
        </w:rPr>
        <w:t xml:space="preserve">Lobesia botrana</w:t>
      </w:r>
      <w:r>
        <w:t xml:space="preserve"> </w:t>
      </w:r>
      <w:r>
        <w:t xml:space="preserve">moths</w:t>
      </w:r>
      <w:r>
        <w:t xml:space="preserve"> </w:t>
      </w:r>
      <w:r>
        <w:t xml:space="preserve">(Torres-Vila et al., 2012)</w:t>
      </w:r>
      <w:r>
        <w:t xml:space="preserve">, and spruce budworm (</w:t>
      </w:r>
      <w:r>
        <w:rPr>
          <w:i/>
          <w:iCs/>
        </w:rPr>
        <w:t xml:space="preserve">Choristoneura fumiferana</w:t>
      </w:r>
      <w:r>
        <w:t xml:space="preserve">)</w:t>
      </w:r>
      <w:r>
        <w:t xml:space="preserve"> </w:t>
      </w:r>
      <w:r>
        <w:t xml:space="preserve">(Harvey, 1983)</w:t>
      </w:r>
      <w:r>
        <w:t xml:space="preserve">. Moreover, the lack of between-female variation in average egg size between first and second clutches suggests that the food-acquisition environment (i.e. wild vs. lab) had little effect on average egg size.</w:t>
      </w:r>
    </w:p>
    <w:p>
      <w:pPr>
        <w:pStyle w:val="BodyText"/>
      </w:pPr>
      <w:r>
        <w:t xml:space="preserve">In contrast, I found evidence that variation in egg size within a clutch was greater in second clutches than in first clutches, the opposite of the pattern observed in birds.</w:t>
      </w:r>
      <w:r>
        <w:t xml:space="preserve"> </w:t>
      </w:r>
      <w:r>
        <w:t xml:space="preserve">(e.g., Yosef &amp; Zduniak, 2008)</w:t>
      </w:r>
      <w:r>
        <w:t xml:space="preserve">. Empiricists have argued that lower variation in egg size within a clutch is probably linked to environmental factors and food availability. For example, desert finches (</w:t>
      </w:r>
      <w:r>
        <w:rPr>
          <w:i/>
          <w:iCs/>
        </w:rPr>
        <w:t xml:space="preserve">Rhodopsiza obsoleta</w:t>
      </w:r>
      <w:r>
        <w:t xml:space="preserve">) produced similar-sized eggs when environmental conditions were stable</w:t>
      </w:r>
      <w:r>
        <w:t xml:space="preserve"> </w:t>
      </w:r>
      <w:r>
        <w:t xml:space="preserve">(Yosef &amp; Zduniak, 2008)</w:t>
      </w:r>
      <w:r>
        <w:t xml:space="preserve">, collared flycatchers (</w:t>
      </w:r>
      <w:r>
        <w:rPr>
          <w:i/>
          <w:iCs/>
        </w:rPr>
        <w:t xml:space="preserve">Ficedula albicollis</w:t>
      </w:r>
      <w:r>
        <w:t xml:space="preserve">) produced larger eggs with the laying sequence in favourable conditions</w:t>
      </w:r>
      <w:r>
        <w:t xml:space="preserve"> </w:t>
      </w:r>
      <w:r>
        <w:t xml:space="preserve">(Hargitai et al., 2005)</w:t>
      </w:r>
      <w:r>
        <w:t xml:space="preserve">, and blue tits (</w:t>
      </w:r>
      <w:r>
        <w:rPr>
          <w:i/>
          <w:iCs/>
        </w:rPr>
        <w:t xml:space="preserve">Paris caeruleus</w:t>
      </w:r>
      <w:r>
        <w:t xml:space="preserve">) in better nutritional condition had clutches with less variation in egg size</w:t>
      </w:r>
      <w:r>
        <w:t xml:space="preserve"> </w:t>
      </w:r>
      <w:r>
        <w:t xml:space="preserve">(Nilsson &amp; Svensson, 1993)</w:t>
      </w:r>
      <w:r>
        <w:t xml:space="preserve">.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w:t>
      </w:r>
      <w:r>
        <w:t xml:space="preserve"> </w:t>
      </w:r>
      <w:r>
        <w:t xml:space="preserve">(Slagsvold et al., 1984)</w:t>
      </w:r>
      <w:r>
        <w:t xml:space="preserve">. However, it is unknown whether variation in egg size has an equivalent adaptive function in insects expressing maternal care.</w:t>
      </w:r>
    </w:p>
    <w:p>
      <w:pPr>
        <w:pStyle w:val="BodyText"/>
      </w:pPr>
      <w:r>
        <w:t xml:space="preserve">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more variable size than first clutches, but the among-female variation in average egg size was similar between the two clutches.</w:t>
      </w:r>
    </w:p>
    <w:bookmarkEnd w:id="26"/>
    <w:bookmarkStart w:id="27" w:name="data-availability"/>
    <w:p>
      <w:pPr>
        <w:pStyle w:val="Heading1"/>
      </w:pPr>
      <w:r>
        <w:t xml:space="preserve">Data availability</w:t>
      </w:r>
    </w:p>
    <w:p>
      <w:pPr>
        <w:pStyle w:val="FirstParagraph"/>
      </w:pPr>
      <w:r>
        <w:t xml:space="preserve">Data are available through the OSF repository at 10.17605/OSF.IO/MFJ8E.</w:t>
      </w:r>
    </w:p>
    <w:bookmarkEnd w:id="27"/>
    <w:bookmarkStart w:id="28" w:name="author-contributions"/>
    <w:p>
      <w:pPr>
        <w:pStyle w:val="Heading1"/>
      </w:pPr>
      <w:r>
        <w:t xml:space="preserve">Author contributions</w:t>
      </w:r>
    </w:p>
    <w:p>
      <w:pPr>
        <w:pStyle w:val="FirstParagraph"/>
      </w:pPr>
      <w:r>
        <w:t xml:space="preserve">CDK collected and analyzed the data, and wrote the manuscript.</w:t>
      </w:r>
    </w:p>
    <w:bookmarkEnd w:id="28"/>
    <w:bookmarkStart w:id="29" w:name="funding"/>
    <w:p>
      <w:pPr>
        <w:pStyle w:val="Heading1"/>
      </w:pPr>
      <w:r>
        <w:t xml:space="preserve">Funding</w:t>
      </w:r>
    </w:p>
    <w:p>
      <w:pPr>
        <w:pStyle w:val="FirstParagraph"/>
      </w:pPr>
      <w:r>
        <w:t xml:space="preserve">The study was funded by a Discovery Grant from the Natural Sciences and Engineering Research Council of Canada (NSERC).</w:t>
      </w:r>
    </w:p>
    <w:bookmarkEnd w:id="29"/>
    <w:bookmarkStart w:id="30" w:name="conflict-of-interest"/>
    <w:p>
      <w:pPr>
        <w:pStyle w:val="Heading1"/>
      </w:pPr>
      <w:r>
        <w:t xml:space="preserve">Conflict of Interest</w:t>
      </w:r>
    </w:p>
    <w:p>
      <w:pPr>
        <w:pStyle w:val="FirstParagraph"/>
      </w:pPr>
      <w:r>
        <w:t xml:space="preserve">I declare no conflict of interest.</w:t>
      </w:r>
    </w:p>
    <w:bookmarkEnd w:id="30"/>
    <w:bookmarkStart w:id="31" w:name="acknowledgements"/>
    <w:p>
      <w:pPr>
        <w:pStyle w:val="Heading1"/>
      </w:pPr>
      <w:r>
        <w:t xml:space="preserve">Acknowledgements</w:t>
      </w:r>
    </w:p>
    <w:p>
      <w:pPr>
        <w:pStyle w:val="FirstParagraph"/>
      </w:pPr>
      <w:r>
        <w:t xml:space="preserve">I thank Andréanne Nault and Clara Smythe for assistance in animal care and data collection.</w:t>
      </w:r>
    </w:p>
    <w:p>
      <w:r>
        <w:br w:type="page"/>
      </w:r>
    </w:p>
    <w:bookmarkEnd w:id="31"/>
    <w:bookmarkStart w:id="86" w:name="references"/>
    <w:p>
      <w:pPr>
        <w:pStyle w:val="Heading1"/>
      </w:pPr>
      <w:r>
        <w:t xml:space="preserve">References</w:t>
      </w:r>
    </w:p>
    <w:bookmarkStart w:id="77" w:name="refs"/>
    <w:bookmarkStart w:id="32" w:name="ref-bernardo1996"/>
    <w:p>
      <w:pPr>
        <w:pStyle w:val="Bibliography"/>
      </w:pPr>
      <w:r>
        <w:t xml:space="preserve">Bernardo, J. (1996). The particular maternal effect of propagule size, especially egg size: Patterns, models, quality of evidence and interpretations.</w:t>
      </w:r>
      <w:r>
        <w:t xml:space="preserve"> </w:t>
      </w:r>
      <w:r>
        <w:rPr>
          <w:i/>
          <w:iCs/>
        </w:rPr>
        <w:t xml:space="preserve">Am Zool</w:t>
      </w:r>
      <w:r>
        <w:t xml:space="preserve">,</w:t>
      </w:r>
      <w:r>
        <w:t xml:space="preserve"> </w:t>
      </w:r>
      <w:r>
        <w:rPr>
          <w:i/>
          <w:iCs/>
        </w:rPr>
        <w:t xml:space="preserve">36</w:t>
      </w:r>
      <w:r>
        <w:t xml:space="preserve">(2), 216–236.</w:t>
      </w:r>
    </w:p>
    <w:bookmarkEnd w:id="32"/>
    <w:bookmarkStart w:id="33" w:name="ref-boos2014"/>
    <w:p>
      <w:pPr>
        <w:pStyle w:val="Bibliography"/>
      </w:pPr>
      <w:r>
        <w:t xml:space="preserve">Boos, S., Meunier, J., Pichon, S., &amp; Kölliker, M. (2014). Maternal care provides antifungal protection to eggs in the european earwig.</w:t>
      </w:r>
      <w:r>
        <w:t xml:space="preserve"> </w:t>
      </w:r>
      <w:r>
        <w:rPr>
          <w:i/>
          <w:iCs/>
        </w:rPr>
        <w:t xml:space="preserve">Behav Ecol</w:t>
      </w:r>
      <w:r>
        <w:t xml:space="preserve">,</w:t>
      </w:r>
      <w:r>
        <w:t xml:space="preserve"> </w:t>
      </w:r>
      <w:r>
        <w:rPr>
          <w:i/>
          <w:iCs/>
        </w:rPr>
        <w:t xml:space="preserve">25</w:t>
      </w:r>
      <w:r>
        <w:t xml:space="preserve">(4), 754–761.</w:t>
      </w:r>
    </w:p>
    <w:bookmarkEnd w:id="33"/>
    <w:bookmarkStart w:id="34"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w:t>
      </w:r>
      <w:r>
        <w:t xml:space="preserve">ayesian multilevel models using</w:t>
      </w:r>
      <w:r>
        <w:t xml:space="preserve"> </w:t>
      </w:r>
      <w:r>
        <w:t xml:space="preserve">S</w:t>
      </w:r>
      <w:r>
        <w:t xml:space="preserve">tan.</w:t>
      </w:r>
      <w:r>
        <w:t xml:space="preserve"> </w:t>
      </w:r>
      <w:r>
        <w:rPr>
          <w:i/>
          <w:iCs/>
        </w:rPr>
        <w:t xml:space="preserve">Journal of Statistical Software</w:t>
      </w:r>
      <w:r>
        <w:t xml:space="preserve">,</w:t>
      </w:r>
      <w:r>
        <w:t xml:space="preserve"> </w:t>
      </w:r>
      <w:r>
        <w:rPr>
          <w:i/>
          <w:iCs/>
        </w:rPr>
        <w:t xml:space="preserve">80</w:t>
      </w:r>
      <w:r>
        <w:t xml:space="preserve">(1), 4308.</w:t>
      </w:r>
    </w:p>
    <w:bookmarkEnd w:id="34"/>
    <w:bookmarkStart w:id="35" w:name="ref-careau2017"/>
    <w:p>
      <w:pPr>
        <w:pStyle w:val="Bibliography"/>
      </w:pPr>
      <w:r>
        <w:t xml:space="preserve">Careau, V., &amp; Wilson, R. (2017). Of uberfleas and krakens: Detecting trade-offs using mixed models.</w:t>
      </w:r>
      <w:r>
        <w:t xml:space="preserve"> </w:t>
      </w:r>
      <w:r>
        <w:rPr>
          <w:i/>
          <w:iCs/>
        </w:rPr>
        <w:t xml:space="preserve">Integr Comp Biol</w:t>
      </w:r>
      <w:r>
        <w:t xml:space="preserve">,</w:t>
      </w:r>
      <w:r>
        <w:t xml:space="preserve"> </w:t>
      </w:r>
      <w:r>
        <w:rPr>
          <w:i/>
          <w:iCs/>
        </w:rPr>
        <w:t xml:space="preserve">57</w:t>
      </w:r>
      <w:r>
        <w:t xml:space="preserve">(2), 362–371.</w:t>
      </w:r>
    </w:p>
    <w:bookmarkEnd w:id="35"/>
    <w:bookmarkStart w:id="36" w:name="ref-cavaleiro2014"/>
    <w:p>
      <w:pPr>
        <w:pStyle w:val="Bibliography"/>
      </w:pPr>
      <w:r>
        <w:t xml:space="preserve">Cavaleiro, F. I., &amp; Santos, M. J. (2014). Egg number-egg size: An important trade-off in parasite life history strategies.</w:t>
      </w:r>
      <w:r>
        <w:t xml:space="preserve"> </w:t>
      </w:r>
      <w:r>
        <w:rPr>
          <w:i/>
          <w:iCs/>
        </w:rPr>
        <w:t xml:space="preserve">Int J Parasitol</w:t>
      </w:r>
      <w:r>
        <w:t xml:space="preserve">,</w:t>
      </w:r>
      <w:r>
        <w:t xml:space="preserve"> </w:t>
      </w:r>
      <w:r>
        <w:rPr>
          <w:i/>
          <w:iCs/>
        </w:rPr>
        <w:t xml:space="preserve">44</w:t>
      </w:r>
      <w:r>
        <w:t xml:space="preserve">(3-4), 173–182.</w:t>
      </w:r>
    </w:p>
    <w:bookmarkEnd w:id="36"/>
    <w:bookmarkStart w:id="37" w:name="ref-church2019"/>
    <w:p>
      <w:pPr>
        <w:pStyle w:val="Bibliography"/>
      </w:pPr>
      <w:r>
        <w:t xml:space="preserve">Church, S. H., Donoughe, S., Medeiros, B. A. S. de, &amp; Extavour, C. G. (2019). Insect egg size and shape evolve with ecology but not developmental rate.</w:t>
      </w:r>
      <w:r>
        <w:t xml:space="preserve"> </w:t>
      </w:r>
      <w:r>
        <w:rPr>
          <w:i/>
          <w:iCs/>
        </w:rPr>
        <w:t xml:space="preserve">Nature</w:t>
      </w:r>
      <w:r>
        <w:t xml:space="preserve">,</w:t>
      </w:r>
      <w:r>
        <w:t xml:space="preserve"> </w:t>
      </w:r>
      <w:r>
        <w:rPr>
          <w:i/>
          <w:iCs/>
        </w:rPr>
        <w:t xml:space="preserve">571</w:t>
      </w:r>
      <w:r>
        <w:t xml:space="preserve">(7763), 58–62.</w:t>
      </w:r>
    </w:p>
    <w:bookmarkEnd w:id="37"/>
    <w:bookmarkStart w:id="38" w:name="ref-clutton-brock1984"/>
    <w:p>
      <w:pPr>
        <w:pStyle w:val="Bibliography"/>
      </w:pPr>
      <w:r>
        <w:t xml:space="preserve">Clutton-Brock, T. H. (1984). Reproductive effort and terminal investment in iteroparous animals.</w:t>
      </w:r>
      <w:r>
        <w:t xml:space="preserve"> </w:t>
      </w:r>
      <w:r>
        <w:rPr>
          <w:i/>
          <w:iCs/>
        </w:rPr>
        <w:t xml:space="preserve">Am Nat</w:t>
      </w:r>
      <w:r>
        <w:t xml:space="preserve">,</w:t>
      </w:r>
      <w:r>
        <w:t xml:space="preserve"> </w:t>
      </w:r>
      <w:r>
        <w:rPr>
          <w:i/>
          <w:iCs/>
        </w:rPr>
        <w:t xml:space="preserve">123</w:t>
      </w:r>
      <w:r>
        <w:t xml:space="preserve">(2), 212–229.</w:t>
      </w:r>
    </w:p>
    <w:bookmarkEnd w:id="38"/>
    <w:bookmarkStart w:id="39" w:name="ref-clutton-brock1991"/>
    <w:p>
      <w:pPr>
        <w:pStyle w:val="Bibliography"/>
      </w:pPr>
      <w:r>
        <w:t xml:space="preserve">Clutton-Brock, T. H. (1991).</w:t>
      </w:r>
      <w:r>
        <w:t xml:space="preserve"> </w:t>
      </w:r>
      <w:r>
        <w:rPr>
          <w:i/>
          <w:iCs/>
        </w:rPr>
        <w:t xml:space="preserve">The Evolution of Parental Care</w:t>
      </w:r>
      <w:r>
        <w:t xml:space="preserve"> </w:t>
      </w:r>
      <w:r>
        <w:t xml:space="preserve">(Vol. 10). Princeton University Press.</w:t>
      </w:r>
    </w:p>
    <w:bookmarkEnd w:id="39"/>
    <w:bookmarkStart w:id="40" w:name="ref-einum2000"/>
    <w:p>
      <w:pPr>
        <w:pStyle w:val="Bibliography"/>
      </w:pPr>
      <w:r>
        <w:t xml:space="preserve">Einum, S., &amp; Fleming, I. A. (2000). Highly fecund mothers sacrifice offspring survival to maximize fitness.</w:t>
      </w:r>
      <w:r>
        <w:t xml:space="preserve"> </w:t>
      </w:r>
      <w:r>
        <w:rPr>
          <w:i/>
          <w:iCs/>
        </w:rPr>
        <w:t xml:space="preserve">Nature</w:t>
      </w:r>
      <w:r>
        <w:t xml:space="preserve">,</w:t>
      </w:r>
      <w:r>
        <w:t xml:space="preserve"> </w:t>
      </w:r>
      <w:r>
        <w:rPr>
          <w:i/>
          <w:iCs/>
        </w:rPr>
        <w:t xml:space="preserve">405</w:t>
      </w:r>
      <w:r>
        <w:t xml:space="preserve">(6786), 565–567.</w:t>
      </w:r>
    </w:p>
    <w:bookmarkEnd w:id="40"/>
    <w:bookmarkStart w:id="41" w:name="ref-falconer1996"/>
    <w:p>
      <w:pPr>
        <w:pStyle w:val="Bibliography"/>
      </w:pPr>
      <w:r>
        <w:t xml:space="preserve">Falconer, D. S., &amp; MacKay, T. F. C. (1996).</w:t>
      </w:r>
      <w:r>
        <w:t xml:space="preserve"> </w:t>
      </w:r>
      <w:r>
        <w:rPr>
          <w:i/>
          <w:iCs/>
        </w:rPr>
        <w:t xml:space="preserve">An Introduction Quantitative Genetics</w:t>
      </w:r>
      <w:r>
        <w:t xml:space="preserve">. Pearson Education Limited.</w:t>
      </w:r>
    </w:p>
    <w:bookmarkEnd w:id="41"/>
    <w:bookmarkStart w:id="42" w:name="ref-ficetola2009"/>
    <w:p>
      <w:pPr>
        <w:pStyle w:val="Bibliography"/>
      </w:pPr>
      <w:r>
        <w:t xml:space="preserve">Ficetola, G. F., &amp; De Bernardi, F. (2009). Offspring size and survival in the frog rana latastei: From among-population to within-clutch variation.</w:t>
      </w:r>
      <w:r>
        <w:t xml:space="preserve"> </w:t>
      </w:r>
      <w:r>
        <w:rPr>
          <w:i/>
          <w:iCs/>
        </w:rPr>
        <w:t xml:space="preserve">Biol J Linn Soc</w:t>
      </w:r>
      <w:r>
        <w:t xml:space="preserve">,</w:t>
      </w:r>
      <w:r>
        <w:t xml:space="preserve"> </w:t>
      </w:r>
      <w:r>
        <w:rPr>
          <w:i/>
          <w:iCs/>
        </w:rPr>
        <w:t xml:space="preserve">97</w:t>
      </w:r>
      <w:r>
        <w:t xml:space="preserve">(4), 845–853.</w:t>
      </w:r>
    </w:p>
    <w:bookmarkEnd w:id="42"/>
    <w:bookmarkStart w:id="43" w:name="ref-fox2000"/>
    <w:p>
      <w:pPr>
        <w:pStyle w:val="Bibliography"/>
      </w:pPr>
      <w:r>
        <w:t xml:space="preserve">Fox, C. W., &amp; Czesak, M. E. (2000). Evolutionary ecology of progeny size in arthropods.</w:t>
      </w:r>
      <w:r>
        <w:t xml:space="preserve"> </w:t>
      </w:r>
      <w:r>
        <w:rPr>
          <w:i/>
          <w:iCs/>
        </w:rPr>
        <w:t xml:space="preserve">Annu Rev Entomol</w:t>
      </w:r>
      <w:r>
        <w:t xml:space="preserve">,</w:t>
      </w:r>
      <w:r>
        <w:t xml:space="preserve"> </w:t>
      </w:r>
      <w:r>
        <w:rPr>
          <w:i/>
          <w:iCs/>
        </w:rPr>
        <w:t xml:space="preserve">45</w:t>
      </w:r>
      <w:r>
        <w:t xml:space="preserve">(1), 341–369.</w:t>
      </w:r>
    </w:p>
    <w:bookmarkEnd w:id="43"/>
    <w:bookmarkStart w:id="44" w:name="ref-hargitai2005"/>
    <w:p>
      <w:pPr>
        <w:pStyle w:val="Bibliography"/>
      </w:pPr>
      <w:r>
        <w:t xml:space="preserve">Hargitai, R., Török, J., Tóth, L., Hegyi, G., Rosivall, B., Szigeti, B., &amp; Szöllősi, E. (2005). Effects of environmental conditions and parental quality on inter-and intraclutch egg-size variation in the collared flycatcher (ficedula albicollis).</w:t>
      </w:r>
      <w:r>
        <w:t xml:space="preserve"> </w:t>
      </w:r>
      <w:r>
        <w:rPr>
          <w:i/>
          <w:iCs/>
        </w:rPr>
        <w:t xml:space="preserve">The Auk</w:t>
      </w:r>
      <w:r>
        <w:t xml:space="preserve">,</w:t>
      </w:r>
      <w:r>
        <w:t xml:space="preserve"> </w:t>
      </w:r>
      <w:r>
        <w:rPr>
          <w:i/>
          <w:iCs/>
        </w:rPr>
        <w:t xml:space="preserve">122</w:t>
      </w:r>
      <w:r>
        <w:t xml:space="preserve">(2), 509–522.</w:t>
      </w:r>
    </w:p>
    <w:bookmarkEnd w:id="44"/>
    <w:bookmarkStart w:id="45" w:name="ref-harvey1983"/>
    <w:p>
      <w:pPr>
        <w:pStyle w:val="Bibliography"/>
      </w:pPr>
      <w:r>
        <w:t xml:space="preserve">Harvey, G. T. (1983). Environmental and genetic effects on mean egg weight in spruce budworm (lepidoptera: tortricidae).</w:t>
      </w:r>
      <w:r>
        <w:t xml:space="preserve"> </w:t>
      </w:r>
      <w:r>
        <w:rPr>
          <w:i/>
          <w:iCs/>
        </w:rPr>
        <w:t xml:space="preserve">The Canadian Entomologist</w:t>
      </w:r>
      <w:r>
        <w:t xml:space="preserve">,</w:t>
      </w:r>
      <w:r>
        <w:t xml:space="preserve"> </w:t>
      </w:r>
      <w:r>
        <w:rPr>
          <w:i/>
          <w:iCs/>
        </w:rPr>
        <w:t xml:space="preserve">115</w:t>
      </w:r>
      <w:r>
        <w:t xml:space="preserve">(9), 1109–1117.</w:t>
      </w:r>
    </w:p>
    <w:bookmarkEnd w:id="45"/>
    <w:bookmarkStart w:id="46" w:name="ref-honek1993"/>
    <w:p>
      <w:pPr>
        <w:pStyle w:val="Bibliography"/>
      </w:pPr>
      <w:r>
        <w:t xml:space="preserve">Honek, A. (1993). Intraspecific variation in body size and fecundity in insects: A general relationship.</w:t>
      </w:r>
      <w:r>
        <w:t xml:space="preserve"> </w:t>
      </w:r>
      <w:r>
        <w:rPr>
          <w:i/>
          <w:iCs/>
        </w:rPr>
        <w:t xml:space="preserve">Oikos</w:t>
      </w:r>
      <w:r>
        <w:t xml:space="preserve">, 483–492.</w:t>
      </w:r>
    </w:p>
    <w:bookmarkEnd w:id="46"/>
    <w:bookmarkStart w:id="47" w:name="ref-kelly2014"/>
    <w:p>
      <w:pPr>
        <w:pStyle w:val="Bibliography"/>
      </w:pPr>
      <w:r>
        <w:t xml:space="preserve">Kelly, C. D., Tawes, B., &amp; Worthington, A. (2014). Evaluating indices of body condition in two cricket species.</w:t>
      </w:r>
      <w:r>
        <w:t xml:space="preserve"> </w:t>
      </w:r>
      <w:r>
        <w:rPr>
          <w:i/>
          <w:iCs/>
        </w:rPr>
        <w:t xml:space="preserve">Ecology and Evolution</w:t>
      </w:r>
      <w:r>
        <w:t xml:space="preserve">,</w:t>
      </w:r>
      <w:r>
        <w:t xml:space="preserve"> </w:t>
      </w:r>
      <w:r>
        <w:rPr>
          <w:i/>
          <w:iCs/>
        </w:rPr>
        <w:t xml:space="preserve">4</w:t>
      </w:r>
      <w:r>
        <w:t xml:space="preserve">(23), 4476–4487.</w:t>
      </w:r>
    </w:p>
    <w:bookmarkEnd w:id="47"/>
    <w:bookmarkStart w:id="48" w:name="ref-koch2014"/>
    <w:p>
      <w:pPr>
        <w:pStyle w:val="Bibliography"/>
      </w:pPr>
      <w:r>
        <w:t xml:space="preserve">Koch, L. K., &amp; Meunier, J. (2014). Mother and offspring fitness in an insect with maternal care: Phenotypic trade-offs between egg number, egg mass and egg care.</w:t>
      </w:r>
      <w:r>
        <w:t xml:space="preserve"> </w:t>
      </w:r>
      <w:r>
        <w:rPr>
          <w:i/>
          <w:iCs/>
        </w:rPr>
        <w:t xml:space="preserve">BMC Evol Biol</w:t>
      </w:r>
      <w:r>
        <w:t xml:space="preserve">,</w:t>
      </w:r>
      <w:r>
        <w:t xml:space="preserve"> </w:t>
      </w:r>
      <w:r>
        <w:rPr>
          <w:i/>
          <w:iCs/>
        </w:rPr>
        <w:t xml:space="preserve">14</w:t>
      </w:r>
      <w:r>
        <w:t xml:space="preserve">(1), 125.</w:t>
      </w:r>
    </w:p>
    <w:bookmarkEnd w:id="48"/>
    <w:bookmarkStart w:id="49" w:name="ref-kolliker2007"/>
    <w:p>
      <w:pPr>
        <w:pStyle w:val="Bibliography"/>
      </w:pPr>
      <w:r>
        <w:t xml:space="preserve">Kölliker, M. (2007). Benefits and costs of earwig (forficula auricularia) family life.</w:t>
      </w:r>
      <w:r>
        <w:t xml:space="preserve"> </w:t>
      </w:r>
      <w:r>
        <w:rPr>
          <w:i/>
          <w:iCs/>
        </w:rPr>
        <w:t xml:space="preserve">Behav Ecol Sociobiol</w:t>
      </w:r>
      <w:r>
        <w:t xml:space="preserve">,</w:t>
      </w:r>
      <w:r>
        <w:t xml:space="preserve"> </w:t>
      </w:r>
      <w:r>
        <w:rPr>
          <w:i/>
          <w:iCs/>
        </w:rPr>
        <w:t xml:space="preserve">61</w:t>
      </w:r>
      <w:r>
        <w:t xml:space="preserve">(9), 1489–1497.</w:t>
      </w:r>
    </w:p>
    <w:bookmarkEnd w:id="49"/>
    <w:bookmarkStart w:id="50" w:name="ref-meunier2024"/>
    <w:p>
      <w:pPr>
        <w:pStyle w:val="Bibliography"/>
      </w:pPr>
      <w:r>
        <w:t xml:space="preserve">Meunier, J. (2024). The biology and social life of earwigs (dermaptera).</w:t>
      </w:r>
      <w:r>
        <w:t xml:space="preserve"> </w:t>
      </w:r>
      <w:r>
        <w:rPr>
          <w:i/>
          <w:iCs/>
        </w:rPr>
        <w:t xml:space="preserve">Annu Rev Entomol</w:t>
      </w:r>
      <w:r>
        <w:t xml:space="preserve">,</w:t>
      </w:r>
      <w:r>
        <w:t xml:space="preserve"> </w:t>
      </w:r>
      <w:r>
        <w:rPr>
          <w:i/>
          <w:iCs/>
        </w:rPr>
        <w:t xml:space="preserve">69</w:t>
      </w:r>
      <w:r>
        <w:t xml:space="preserve">(1), 259–276.</w:t>
      </w:r>
    </w:p>
    <w:bookmarkEnd w:id="50"/>
    <w:bookmarkStart w:id="51" w:name="ref-nelson2004"/>
    <w:p>
      <w:pPr>
        <w:pStyle w:val="Bibliography"/>
      </w:pPr>
      <w:r>
        <w:t xml:space="preserve">Nelson, N. J., Thompson, M. B., Pledger, S., Keall, S. N., &amp; Daugherty, C. H. (2004). Egg mass determines hatchling size, and incubation temperature influences post‐hatching growth, of tuatara sphenodon punctatus.</w:t>
      </w:r>
      <w:r>
        <w:t xml:space="preserve"> </w:t>
      </w:r>
      <w:r>
        <w:rPr>
          <w:i/>
          <w:iCs/>
        </w:rPr>
        <w:t xml:space="preserve">J Zool</w:t>
      </w:r>
      <w:r>
        <w:t xml:space="preserve">,</w:t>
      </w:r>
      <w:r>
        <w:t xml:space="preserve"> </w:t>
      </w:r>
      <w:r>
        <w:rPr>
          <w:i/>
          <w:iCs/>
        </w:rPr>
        <w:t xml:space="preserve">263</w:t>
      </w:r>
      <w:r>
        <w:t xml:space="preserve">(1), 77–87.</w:t>
      </w:r>
    </w:p>
    <w:bookmarkEnd w:id="51"/>
    <w:bookmarkStart w:id="52" w:name="ref-nilsson1993"/>
    <w:p>
      <w:pPr>
        <w:pStyle w:val="Bibliography"/>
      </w:pPr>
      <w:r>
        <w:t xml:space="preserve">Nilsson, J. ‐Å., &amp; Svensson, E. (1993). Causes and consequences of egg mass variation between and within blue tit clutches.</w:t>
      </w:r>
      <w:r>
        <w:t xml:space="preserve"> </w:t>
      </w:r>
      <w:r>
        <w:rPr>
          <w:i/>
          <w:iCs/>
        </w:rPr>
        <w:t xml:space="preserve">J Zool</w:t>
      </w:r>
      <w:r>
        <w:t xml:space="preserve">,</w:t>
      </w:r>
      <w:r>
        <w:t xml:space="preserve"> </w:t>
      </w:r>
      <w:r>
        <w:rPr>
          <w:i/>
          <w:iCs/>
        </w:rPr>
        <w:t xml:space="preserve">230</w:t>
      </w:r>
      <w:r>
        <w:t xml:space="preserve">(3), 469–481.</w:t>
      </w:r>
    </w:p>
    <w:bookmarkEnd w:id="52"/>
    <w:bookmarkStart w:id="53" w:name="ref-parker1982"/>
    <w:p>
      <w:pPr>
        <w:pStyle w:val="Bibliography"/>
      </w:pPr>
      <w:r>
        <w:t xml:space="preserve">Parker, G. A. (1982). Why are there so many tiny sperm? Sperm competition and the maintenance of two sexes.</w:t>
      </w:r>
      <w:r>
        <w:t xml:space="preserve"> </w:t>
      </w:r>
      <w:r>
        <w:rPr>
          <w:i/>
          <w:iCs/>
        </w:rPr>
        <w:t xml:space="preserve">J Theor Biol</w:t>
      </w:r>
      <w:r>
        <w:t xml:space="preserve">,</w:t>
      </w:r>
      <w:r>
        <w:t xml:space="preserve"> </w:t>
      </w:r>
      <w:r>
        <w:rPr>
          <w:i/>
          <w:iCs/>
        </w:rPr>
        <w:t xml:space="preserve">96</w:t>
      </w:r>
      <w:r>
        <w:t xml:space="preserve">(2), 281–294.</w:t>
      </w:r>
    </w:p>
    <w:bookmarkEnd w:id="53"/>
    <w:bookmarkStart w:id="54" w:name="ref-peig2009"/>
    <w:p>
      <w:pPr>
        <w:pStyle w:val="Bibliography"/>
      </w:pPr>
      <w:r>
        <w:t xml:space="preserve">Peig, J., &amp; Green, A. J. (2009). New perspectives for estimating body condition from mass/length data: The scaled mass index as an alternative method.</w:t>
      </w:r>
      <w:r>
        <w:t xml:space="preserve"> </w:t>
      </w:r>
      <w:r>
        <w:rPr>
          <w:i/>
          <w:iCs/>
        </w:rPr>
        <w:t xml:space="preserve">Oikos</w:t>
      </w:r>
      <w:r>
        <w:t xml:space="preserve">,</w:t>
      </w:r>
      <w:r>
        <w:t xml:space="preserve"> </w:t>
      </w:r>
      <w:r>
        <w:rPr>
          <w:i/>
          <w:iCs/>
        </w:rPr>
        <w:t xml:space="preserve">118</w:t>
      </w:r>
      <w:r>
        <w:t xml:space="preserve">(12), 1883–1891.</w:t>
      </w:r>
    </w:p>
    <w:bookmarkEnd w:id="54"/>
    <w:bookmarkStart w:id="55" w:name="ref-peig2010"/>
    <w:p>
      <w:pPr>
        <w:pStyle w:val="Bibliography"/>
      </w:pPr>
      <w:r>
        <w:t xml:space="preserve">Peig, J., &amp; Green, A. J. (2010). The paradigm of body condition: A critical reappraisal of current methods based on mass and length.</w:t>
      </w:r>
      <w:r>
        <w:t xml:space="preserve"> </w:t>
      </w:r>
      <w:r>
        <w:rPr>
          <w:i/>
          <w:iCs/>
        </w:rPr>
        <w:t xml:space="preserve">Funct Ecol</w:t>
      </w:r>
      <w:r>
        <w:t xml:space="preserve">,</w:t>
      </w:r>
      <w:r>
        <w:t xml:space="preserve"> </w:t>
      </w:r>
      <w:r>
        <w:rPr>
          <w:i/>
          <w:iCs/>
        </w:rPr>
        <w:t xml:space="preserve">24</w:t>
      </w:r>
      <w:r>
        <w:t xml:space="preserve">(6), 1323–1332.</w:t>
      </w:r>
    </w:p>
    <w:bookmarkEnd w:id="55"/>
    <w:bookmarkStart w:id="56" w:name="ref-r2013"/>
    <w:p>
      <w:pPr>
        <w:pStyle w:val="Bibliography"/>
      </w:pPr>
      <w:r>
        <w:t xml:space="preserve">R Core Team. (2025).</w:t>
      </w:r>
      <w:r>
        <w:t xml:space="preserve"> </w:t>
      </w:r>
      <w:r>
        <w:rPr>
          <w:i/>
          <w:iCs/>
        </w:rPr>
        <w:t xml:space="preserve">R</w:t>
      </w:r>
      <w:r>
        <w:rPr>
          <w:i/>
          <w:iCs/>
        </w:rPr>
        <w:t xml:space="preserve">:</w:t>
      </w:r>
      <w:r>
        <w:rPr>
          <w:i/>
          <w:iCs/>
        </w:rPr>
        <w:t xml:space="preserve"> </w:t>
      </w:r>
      <w:r>
        <w:rPr>
          <w:i/>
          <w:iCs/>
        </w:rPr>
        <w:t xml:space="preserve">A</w:t>
      </w:r>
      <w:r>
        <w:rPr>
          <w:i/>
          <w:iCs/>
        </w:rPr>
        <w:t xml:space="preserve"> </w:t>
      </w:r>
      <w:r>
        <w:rPr>
          <w:i/>
          <w:iCs/>
        </w:rPr>
        <w:t xml:space="preserve">language and environment for statistical computing</w:t>
      </w:r>
      <w:r>
        <w:t xml:space="preserve">.</w:t>
      </w:r>
    </w:p>
    <w:bookmarkEnd w:id="56"/>
    <w:bookmarkStart w:id="57" w:name="ref-reznick2000"/>
    <w:p>
      <w:pPr>
        <w:pStyle w:val="Bibliography"/>
      </w:pPr>
      <w:r>
        <w:t xml:space="preserve">Reznick, D., Nunney, L., &amp; Tessier, A. (2000). Big houses, big cars, superfleas and the costs of reproduction.</w:t>
      </w:r>
      <w:r>
        <w:t xml:space="preserve"> </w:t>
      </w:r>
      <w:r>
        <w:rPr>
          <w:i/>
          <w:iCs/>
        </w:rPr>
        <w:t xml:space="preserve">Trends Ecol Evol</w:t>
      </w:r>
      <w:r>
        <w:t xml:space="preserve">,</w:t>
      </w:r>
      <w:r>
        <w:t xml:space="preserve"> </w:t>
      </w:r>
      <w:r>
        <w:rPr>
          <w:i/>
          <w:iCs/>
        </w:rPr>
        <w:t xml:space="preserve">15</w:t>
      </w:r>
      <w:r>
        <w:t xml:space="preserve">(10), 421–425.</w:t>
      </w:r>
    </w:p>
    <w:bookmarkEnd w:id="57"/>
    <w:bookmarkStart w:id="58" w:name="ref-roff1992a"/>
    <w:p>
      <w:pPr>
        <w:pStyle w:val="Bibliography"/>
      </w:pPr>
      <w:r>
        <w:t xml:space="preserve">Roff, D. (1992).</w:t>
      </w:r>
      <w:r>
        <w:t xml:space="preserve"> </w:t>
      </w:r>
      <w:r>
        <w:rPr>
          <w:i/>
          <w:iCs/>
        </w:rPr>
        <w:t xml:space="preserve">Evolution of Life Histories: Theory and Analysis</w:t>
      </w:r>
      <w:r>
        <w:t xml:space="preserve">. Chapman &amp; Hall, Inc.</w:t>
      </w:r>
    </w:p>
    <w:bookmarkEnd w:id="58"/>
    <w:bookmarkStart w:id="59" w:name="ref-schindelin2012"/>
    <w:p>
      <w:pPr>
        <w:pStyle w:val="Bibliography"/>
      </w:pPr>
      <w:r>
        <w:t xml:space="preserve">Schindelin, J., Arganda-Carreras, I., Frise, E., Kaynig, V., Longair, M., Pietzsch, T., Preibisch, S., Rueden, C., Saalfeld, S., Schmid, B., Tinevez, J.-Y., White, D. J., Hartenstein, V., Eliceiri, K., Tomancak, P., &amp; Cardona, A. (2012). Fiji: An open-source platform for biological-image analysis.</w:t>
      </w:r>
      <w:r>
        <w:t xml:space="preserve"> </w:t>
      </w:r>
      <w:r>
        <w:rPr>
          <w:i/>
          <w:iCs/>
        </w:rPr>
        <w:t xml:space="preserve">Nat Methods</w:t>
      </w:r>
      <w:r>
        <w:t xml:space="preserve">,</w:t>
      </w:r>
      <w:r>
        <w:t xml:space="preserve"> </w:t>
      </w:r>
      <w:r>
        <w:rPr>
          <w:i/>
          <w:iCs/>
        </w:rPr>
        <w:t xml:space="preserve">9</w:t>
      </w:r>
      <w:r>
        <w:t xml:space="preserve">(7), 676–682.</w:t>
      </w:r>
    </w:p>
    <w:bookmarkEnd w:id="59"/>
    <w:bookmarkStart w:id="60" w:name="ref-seko2006"/>
    <w:p>
      <w:pPr>
        <w:pStyle w:val="Bibliography"/>
      </w:pPr>
      <w:r>
        <w:t xml:space="preserve">Seko, T., Miyatake, T., Fujioka, S., &amp; Nakasuji, F. (2006). Genetic and environmental sources of egg size, fecundity and body size in the migrant skipper, parnara guttata guttata (lepidoptera: hesperiidae).</w:t>
      </w:r>
      <w:r>
        <w:t xml:space="preserve"> </w:t>
      </w:r>
      <w:r>
        <w:rPr>
          <w:i/>
          <w:iCs/>
        </w:rPr>
        <w:t xml:space="preserve">Popul Ecol</w:t>
      </w:r>
      <w:r>
        <w:t xml:space="preserve">,</w:t>
      </w:r>
      <w:r>
        <w:t xml:space="preserve"> </w:t>
      </w:r>
      <w:r>
        <w:rPr>
          <w:i/>
          <w:iCs/>
        </w:rPr>
        <w:t xml:space="preserve">48</w:t>
      </w:r>
      <w:r>
        <w:t xml:space="preserve">(3), 225–232.</w:t>
      </w:r>
    </w:p>
    <w:bookmarkEnd w:id="60"/>
    <w:bookmarkStart w:id="61" w:name="ref-shine1978"/>
    <w:p>
      <w:pPr>
        <w:pStyle w:val="Bibliography"/>
      </w:pPr>
      <w:r>
        <w:t xml:space="preserve">Shine, R. (1978). Propagule size and parental care: The</w:t>
      </w:r>
      <w:r>
        <w:t xml:space="preserve"> </w:t>
      </w:r>
      <w:r>
        <w:t xml:space="preserve">“safe harbor”</w:t>
      </w:r>
      <w:r>
        <w:t xml:space="preserve"> </w:t>
      </w:r>
      <w:r>
        <w:t xml:space="preserve">hypothesis.</w:t>
      </w:r>
      <w:r>
        <w:t xml:space="preserve"> </w:t>
      </w:r>
      <w:r>
        <w:rPr>
          <w:i/>
          <w:iCs/>
        </w:rPr>
        <w:t xml:space="preserve">J Theor Biol</w:t>
      </w:r>
      <w:r>
        <w:t xml:space="preserve">,</w:t>
      </w:r>
      <w:r>
        <w:t xml:space="preserve"> </w:t>
      </w:r>
      <w:r>
        <w:rPr>
          <w:i/>
          <w:iCs/>
        </w:rPr>
        <w:t xml:space="preserve">75</w:t>
      </w:r>
      <w:r>
        <w:t xml:space="preserve">(4), 417–424.</w:t>
      </w:r>
    </w:p>
    <w:bookmarkEnd w:id="61"/>
    <w:bookmarkStart w:id="62" w:name="ref-simpson1951"/>
    <w:p>
      <w:pPr>
        <w:pStyle w:val="Bibliography"/>
      </w:pPr>
      <w:r>
        <w:t xml:space="preserve">Simpson, E. H. (1951). The interpretation of interaction in contingency tables.</w:t>
      </w:r>
      <w:r>
        <w:t xml:space="preserve"> </w:t>
      </w:r>
      <w:r>
        <w:rPr>
          <w:i/>
          <w:iCs/>
        </w:rPr>
        <w:t xml:space="preserve">Journal of the Royal Statistical Society: Series B (Methodological)</w:t>
      </w:r>
      <w:r>
        <w:t xml:space="preserve">,</w:t>
      </w:r>
      <w:r>
        <w:t xml:space="preserve"> </w:t>
      </w:r>
      <w:r>
        <w:rPr>
          <w:i/>
          <w:iCs/>
        </w:rPr>
        <w:t xml:space="preserve">13</w:t>
      </w:r>
      <w:r>
        <w:t xml:space="preserve">(2), 238–241.</w:t>
      </w:r>
    </w:p>
    <w:bookmarkEnd w:id="62"/>
    <w:bookmarkStart w:id="63" w:name="ref-slagsvold1984"/>
    <w:p>
      <w:pPr>
        <w:pStyle w:val="Bibliography"/>
      </w:pPr>
      <w:r>
        <w:t xml:space="preserve">Slagsvold, T., Sandvik, J., Rofstad, G., Lorentsen, Ö., &amp; Husby, M. (1984). On the adaptive value of intraclutch egg-size variation in birds.</w:t>
      </w:r>
      <w:r>
        <w:t xml:space="preserve"> </w:t>
      </w:r>
      <w:r>
        <w:rPr>
          <w:i/>
          <w:iCs/>
        </w:rPr>
        <w:t xml:space="preserve">The Auk</w:t>
      </w:r>
      <w:r>
        <w:t xml:space="preserve">,</w:t>
      </w:r>
      <w:r>
        <w:t xml:space="preserve"> </w:t>
      </w:r>
      <w:r>
        <w:rPr>
          <w:i/>
          <w:iCs/>
        </w:rPr>
        <w:t xml:space="preserve">101</w:t>
      </w:r>
      <w:r>
        <w:t xml:space="preserve">(4), 685–697.</w:t>
      </w:r>
    </w:p>
    <w:bookmarkEnd w:id="63"/>
    <w:bookmarkStart w:id="64" w:name="ref-smith1974"/>
    <w:p>
      <w:pPr>
        <w:pStyle w:val="Bibliography"/>
      </w:pPr>
      <w:r>
        <w:t xml:space="preserve">Smith, C. C., &amp; Fretwell, S. D. (1974). The optimal balance between size and number of offspring.</w:t>
      </w:r>
      <w:r>
        <w:t xml:space="preserve"> </w:t>
      </w:r>
      <w:r>
        <w:rPr>
          <w:i/>
          <w:iCs/>
        </w:rPr>
        <w:t xml:space="preserve">Am Nat</w:t>
      </w:r>
      <w:r>
        <w:t xml:space="preserve">,</w:t>
      </w:r>
      <w:r>
        <w:t xml:space="preserve"> </w:t>
      </w:r>
      <w:r>
        <w:rPr>
          <w:i/>
          <w:iCs/>
        </w:rPr>
        <w:t xml:space="preserve">108</w:t>
      </w:r>
      <w:r>
        <w:t xml:space="preserve">(962), 499–506.</w:t>
      </w:r>
    </w:p>
    <w:bookmarkEnd w:id="64"/>
    <w:bookmarkStart w:id="65" w:name="ref-staerkle2008"/>
    <w:p>
      <w:pPr>
        <w:pStyle w:val="Bibliography"/>
      </w:pPr>
      <w:r>
        <w:t xml:space="preserve">Staerkle, M., &amp; Kölliker, M. (2008). Maternal food regurgitation to nymphs in earwigs (</w:t>
      </w:r>
      <w:r>
        <w:rPr>
          <w:i/>
          <w:iCs/>
        </w:rPr>
        <w:t xml:space="preserve">forficula auricularia</w:t>
      </w:r>
      <w:r>
        <w:t xml:space="preserve">).</w:t>
      </w:r>
      <w:r>
        <w:t xml:space="preserve"> </w:t>
      </w:r>
      <w:r>
        <w:rPr>
          <w:i/>
          <w:iCs/>
        </w:rPr>
        <w:t xml:space="preserve">Ethology</w:t>
      </w:r>
      <w:r>
        <w:t xml:space="preserve">,</w:t>
      </w:r>
      <w:r>
        <w:t xml:space="preserve"> </w:t>
      </w:r>
      <w:r>
        <w:rPr>
          <w:i/>
          <w:iCs/>
        </w:rPr>
        <w:t xml:space="preserve">114</w:t>
      </w:r>
      <w:r>
        <w:t xml:space="preserve">(9), 844–850.</w:t>
      </w:r>
    </w:p>
    <w:bookmarkEnd w:id="65"/>
    <w:bookmarkStart w:id="66" w:name="ref-stearns1992"/>
    <w:p>
      <w:pPr>
        <w:pStyle w:val="Bibliography"/>
      </w:pPr>
      <w:r>
        <w:t xml:space="preserve">Stearns, S. C. (1992).</w:t>
      </w:r>
      <w:r>
        <w:t xml:space="preserve"> </w:t>
      </w:r>
      <w:r>
        <w:rPr>
          <w:i/>
          <w:iCs/>
        </w:rPr>
        <w:t xml:space="preserve">The Evolution of Life Histories</w:t>
      </w:r>
      <w:r>
        <w:t xml:space="preserve">. Oxford University Press.</w:t>
      </w:r>
    </w:p>
    <w:bookmarkEnd w:id="66"/>
    <w:bookmarkStart w:id="67" w:name="ref-stoffel2017"/>
    <w:p>
      <w:pPr>
        <w:pStyle w:val="Bibliography"/>
      </w:pPr>
      <w:r>
        <w:t xml:space="preserve">Stoffel, M. A., Nakagawa, S., &amp; Schielzeth, H. (2017). Rpt</w:t>
      </w:r>
      <w:r>
        <w:t xml:space="preserve">R</w:t>
      </w:r>
      <w:r>
        <w:t xml:space="preserve">: Repeatability estimation and variance decomposition by generalized linear mixed‐effects models.</w:t>
      </w:r>
      <w:r>
        <w:t xml:space="preserve"> </w:t>
      </w:r>
      <w:r>
        <w:rPr>
          <w:i/>
          <w:iCs/>
        </w:rPr>
        <w:t xml:space="preserve">Methods Ecol Evol</w:t>
      </w:r>
      <w:r>
        <w:t xml:space="preserve">,</w:t>
      </w:r>
      <w:r>
        <w:t xml:space="preserve"> </w:t>
      </w:r>
      <w:r>
        <w:rPr>
          <w:i/>
          <w:iCs/>
        </w:rPr>
        <w:t xml:space="preserve">8</w:t>
      </w:r>
      <w:r>
        <w:t xml:space="preserve">(11), 1639–1644.</w:t>
      </w:r>
    </w:p>
    <w:bookmarkEnd w:id="67"/>
    <w:bookmarkStart w:id="68" w:name="ref-torres-vila2012"/>
    <w:p>
      <w:pPr>
        <w:pStyle w:val="Bibliography"/>
      </w:pPr>
      <w:r>
        <w:t xml:space="preserve">Torres-Vila, L., Cruces-Caldera, E., Rodrı́guez-Molina, M., &amp; Cauterruccio, L. (2012). Host plant selects for egg size in the moth lobesia botrana: Integrating reproductive and ecological trade-offs is not a simple matter. In L. Cauterruccio (Ed.),</w:t>
      </w:r>
      <w:r>
        <w:t xml:space="preserve"> </w:t>
      </w:r>
      <w:r>
        <w:rPr>
          <w:i/>
          <w:iCs/>
        </w:rPr>
        <w:t xml:space="preserve">Moths: Types, ecological significance and control methods</w:t>
      </w:r>
      <w:r>
        <w:t xml:space="preserve"> </w:t>
      </w:r>
      <w:r>
        <w:t xml:space="preserve">(pp. 145–167). Nova Science Publishers.</w:t>
      </w:r>
    </w:p>
    <w:bookmarkEnd w:id="68"/>
    <w:bookmarkStart w:id="69" w:name="ref-tourneur2018"/>
    <w:p>
      <w:pPr>
        <w:pStyle w:val="Bibliography"/>
      </w:pPr>
      <w:r>
        <w:t xml:space="preserve">Tourneur, J.-C. (2018). Factors affecting the egg-laying pattern of</w:t>
      </w:r>
      <w:r>
        <w:t xml:space="preserve"> </w:t>
      </w:r>
      <w:r>
        <w:rPr>
          <w:i/>
          <w:iCs/>
        </w:rPr>
        <w:t xml:space="preserve">forficula auricularia</w:t>
      </w:r>
      <w:r>
        <w:t xml:space="preserve"> </w:t>
      </w:r>
      <w:r>
        <w:t xml:space="preserve">(dermaptera: Forficulidae) in three climatologically different zones of north america.</w:t>
      </w:r>
      <w:r>
        <w:t xml:space="preserve"> </w:t>
      </w:r>
      <w:r>
        <w:rPr>
          <w:i/>
          <w:iCs/>
        </w:rPr>
        <w:t xml:space="preserve">The Canadian Entomologist</w:t>
      </w:r>
      <w:r>
        <w:t xml:space="preserve">,</w:t>
      </w:r>
      <w:r>
        <w:t xml:space="preserve"> </w:t>
      </w:r>
      <w:r>
        <w:rPr>
          <w:i/>
          <w:iCs/>
        </w:rPr>
        <w:t xml:space="preserve">150</w:t>
      </w:r>
      <w:r>
        <w:t xml:space="preserve">(4), 511–519.</w:t>
      </w:r>
    </w:p>
    <w:bookmarkEnd w:id="69"/>
    <w:bookmarkStart w:id="70" w:name="ref-tourneur1992"/>
    <w:p>
      <w:pPr>
        <w:pStyle w:val="Bibliography"/>
      </w:pPr>
      <w:r>
        <w:t xml:space="preserve">Tourneur, J.-C., &amp; Gingras, J. (1992). Egg laying in a northeastern</w:t>
      </w:r>
      <w:r>
        <w:t xml:space="preserve"> </w:t>
      </w:r>
      <w:r>
        <w:t xml:space="preserve">N</w:t>
      </w:r>
      <w:r>
        <w:t xml:space="preserve">orth</w:t>
      </w:r>
      <w:r>
        <w:t xml:space="preserve"> </w:t>
      </w:r>
      <w:r>
        <w:t xml:space="preserve">A</w:t>
      </w:r>
      <w:r>
        <w:t xml:space="preserve">merican (montr</w:t>
      </w:r>
      <w:r>
        <w:t xml:space="preserve">é</w:t>
      </w:r>
      <w:r>
        <w:t xml:space="preserve">al, qu</w:t>
      </w:r>
      <w:r>
        <w:t xml:space="preserve">é</w:t>
      </w:r>
      <w:r>
        <w:t xml:space="preserve">bec) population of</w:t>
      </w:r>
      <w:r>
        <w:t xml:space="preserve"> </w:t>
      </w:r>
      <w:r>
        <w:rPr>
          <w:i/>
          <w:iCs/>
        </w:rPr>
        <w:t xml:space="preserve">forficula auricularia</w:t>
      </w:r>
      <w:r>
        <w:t xml:space="preserve"> </w:t>
      </w:r>
      <w:r>
        <w:t xml:space="preserve">l. (</w:t>
      </w:r>
      <w:r>
        <w:t xml:space="preserve">D</w:t>
      </w:r>
      <w:r>
        <w:t xml:space="preserve">ermaptera:</w:t>
      </w:r>
      <w:r>
        <w:t xml:space="preserve"> </w:t>
      </w:r>
      <w:r>
        <w:t xml:space="preserve">F</w:t>
      </w:r>
      <w:r>
        <w:t xml:space="preserve">orficulidae).</w:t>
      </w:r>
      <w:r>
        <w:t xml:space="preserve"> </w:t>
      </w:r>
      <w:r>
        <w:rPr>
          <w:i/>
          <w:iCs/>
        </w:rPr>
        <w:t xml:space="preserve">The Canadian Entomologist</w:t>
      </w:r>
      <w:r>
        <w:t xml:space="preserve">,</w:t>
      </w:r>
      <w:r>
        <w:t xml:space="preserve"> </w:t>
      </w:r>
      <w:r>
        <w:rPr>
          <w:i/>
          <w:iCs/>
        </w:rPr>
        <w:t xml:space="preserve">124</w:t>
      </w:r>
      <w:r>
        <w:t xml:space="preserve">(6), 1055–1061.</w:t>
      </w:r>
    </w:p>
    <w:bookmarkEnd w:id="70"/>
    <w:bookmarkStart w:id="71" w:name="ref-vannoordwijk1986"/>
    <w:p>
      <w:pPr>
        <w:pStyle w:val="Bibliography"/>
      </w:pPr>
      <w:r>
        <w:t xml:space="preserve">Van Noordwijk, A. J., &amp; Jong, G. de. (1986). Acquisition and allocation of resources: Their influence on variation in life history tactics.</w:t>
      </w:r>
      <w:r>
        <w:t xml:space="preserve"> </w:t>
      </w:r>
      <w:r>
        <w:rPr>
          <w:i/>
          <w:iCs/>
        </w:rPr>
        <w:t xml:space="preserve">Am Nat</w:t>
      </w:r>
      <w:r>
        <w:t xml:space="preserve">,</w:t>
      </w:r>
      <w:r>
        <w:t xml:space="preserve"> </w:t>
      </w:r>
      <w:r>
        <w:rPr>
          <w:i/>
          <w:iCs/>
        </w:rPr>
        <w:t xml:space="preserve">128</w:t>
      </w:r>
      <w:r>
        <w:t xml:space="preserve">(1), 137–142.</w:t>
      </w:r>
    </w:p>
    <w:bookmarkEnd w:id="71"/>
    <w:bookmarkStart w:id="72" w:name="ref-vehtari2017"/>
    <w:p>
      <w:pPr>
        <w:pStyle w:val="Bibliography"/>
      </w:pPr>
      <w:r>
        <w:t xml:space="preserve">Vehtari, A., Gelman, A., &amp; Gabry, J. (2017). Practical</w:t>
      </w:r>
      <w:r>
        <w:t xml:space="preserve"> </w:t>
      </w:r>
      <w:r>
        <w:t xml:space="preserve">B</w:t>
      </w:r>
      <w:r>
        <w:t xml:space="preserve">ayesian 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p>
    <w:bookmarkEnd w:id="72"/>
    <w:bookmarkStart w:id="73" w:name="ref-williams1994"/>
    <w:p>
      <w:pPr>
        <w:pStyle w:val="Bibliography"/>
      </w:pPr>
      <w:r>
        <w:t xml:space="preserve">Williams, T. D. (1994). Intraspecific variation in egg size and egg composition in birds: Effects on offspring fitness.</w:t>
      </w:r>
      <w:r>
        <w:t xml:space="preserve"> </w:t>
      </w:r>
      <w:r>
        <w:rPr>
          <w:i/>
          <w:iCs/>
        </w:rPr>
        <w:t xml:space="preserve">Biol Rev Camb Philos Soc</w:t>
      </w:r>
      <w:r>
        <w:t xml:space="preserve">,</w:t>
      </w:r>
      <w:r>
        <w:t xml:space="preserve"> </w:t>
      </w:r>
      <w:r>
        <w:rPr>
          <w:i/>
          <w:iCs/>
        </w:rPr>
        <w:t xml:space="preserve">69</w:t>
      </w:r>
      <w:r>
        <w:t xml:space="preserve">(1), 35–59.</w:t>
      </w:r>
    </w:p>
    <w:bookmarkEnd w:id="73"/>
    <w:bookmarkStart w:id="74" w:name="ref-winkler1987"/>
    <w:p>
      <w:pPr>
        <w:pStyle w:val="Bibliography"/>
      </w:pPr>
      <w:r>
        <w:t xml:space="preserve">Winkler, D. W., &amp; Wallin, K. (1987). Offspring size and number: A life history model linking effort per offspring and total effort.</w:t>
      </w:r>
      <w:r>
        <w:t xml:space="preserve"> </w:t>
      </w:r>
      <w:r>
        <w:rPr>
          <w:i/>
          <w:iCs/>
        </w:rPr>
        <w:t xml:space="preserve">Am Nat</w:t>
      </w:r>
      <w:r>
        <w:t xml:space="preserve">,</w:t>
      </w:r>
      <w:r>
        <w:t xml:space="preserve"> </w:t>
      </w:r>
      <w:r>
        <w:rPr>
          <w:i/>
          <w:iCs/>
        </w:rPr>
        <w:t xml:space="preserve">129</w:t>
      </w:r>
      <w:r>
        <w:t xml:space="preserve">(5), 708–720.</w:t>
      </w:r>
    </w:p>
    <w:bookmarkEnd w:id="74"/>
    <w:bookmarkStart w:id="75" w:name="ref-yanagi2006"/>
    <w:p>
      <w:pPr>
        <w:pStyle w:val="Bibliography"/>
      </w:pPr>
      <w:r>
        <w:t xml:space="preserve">Yanagi, S., Oikawa, T., &amp; Miyatake, T. (2006). Heritability and genetic correlation estimates for egg size and number in callosobruchus chinensis (coleoptera: bruchidae).</w:t>
      </w:r>
      <w:r>
        <w:t xml:space="preserve"> </w:t>
      </w:r>
      <w:r>
        <w:rPr>
          <w:i/>
          <w:iCs/>
        </w:rPr>
        <w:t xml:space="preserve">Ann Entomol Soc Am</w:t>
      </w:r>
      <w:r>
        <w:t xml:space="preserve">,</w:t>
      </w:r>
      <w:r>
        <w:t xml:space="preserve"> </w:t>
      </w:r>
      <w:r>
        <w:rPr>
          <w:i/>
          <w:iCs/>
        </w:rPr>
        <w:t xml:space="preserve">99</w:t>
      </w:r>
      <w:r>
        <w:t xml:space="preserve">(2), 364–368.</w:t>
      </w:r>
    </w:p>
    <w:bookmarkEnd w:id="75"/>
    <w:bookmarkStart w:id="76" w:name="ref-yosef2008"/>
    <w:p>
      <w:pPr>
        <w:pStyle w:val="Bibliography"/>
      </w:pPr>
      <w:r>
        <w:t xml:space="preserve">Yosef, R., &amp; Zduniak, P. (2008). Variation in clutch size, egg size variability and reproductive output in the desert finch (rhodospiza obsoleta).</w:t>
      </w:r>
      <w:r>
        <w:t xml:space="preserve"> </w:t>
      </w:r>
      <w:r>
        <w:rPr>
          <w:i/>
          <w:iCs/>
        </w:rPr>
        <w:t xml:space="preserve">J Arid Environ</w:t>
      </w:r>
      <w:r>
        <w:t xml:space="preserve">,</w:t>
      </w:r>
      <w:r>
        <w:t xml:space="preserve"> </w:t>
      </w:r>
      <w:r>
        <w:rPr>
          <w:i/>
          <w:iCs/>
        </w:rPr>
        <w:t xml:space="preserve">72</w:t>
      </w:r>
      <w:r>
        <w:t xml:space="preserve">(9), 1631–1635.</w:t>
      </w:r>
    </w:p>
    <w:bookmarkEnd w:id="76"/>
    <w:bookmarkEnd w:id="77"/>
    <w:p>
      <w:pPr>
        <w:sectPr>
          <w:pgMar w:header="708" w:bottom="1417" w:top="1417" w:right="1417" w:left="1417" w:footer="708" w:gutter="0"/>
          <w:pgSz w:h="16838" w:w="11906" w:orient="portrait"/>
          <w:type w:val="continuous"/>
          <w:cols/>
        </w:sectPr>
      </w:pPr>
    </w:p>
    <w:p>
      <w:r>
        <w:br w:type="page"/>
      </w:r>
    </w:p>
    <w:p>
      <w:pPr>
        <w:pStyle w:val="BodyText"/>
      </w:pPr>
      <w:r>
        <w:t xml:space="preserve">)</w:t>
      </w:r>
      <w:r>
        <w:t xml:space="preserve"> </w:t>
      </w:r>
      <w:r>
        <w:t xml:space="preserve">)</w:t>
      </w:r>
    </w:p>
    <w:p>
      <w:pPr>
        <w:pStyle w:val="BodyText"/>
      </w:pPr>
      <w:r>
        <w:t xml:space="preserve">##Figures</w:t>
      </w:r>
    </w:p>
    <w:tbl>
      <w:tblPr>
        <w:tblStyle w:val="Table"/>
        <w:tblW w:type="pct" w:w="5000"/>
        <w:tblLayout w:type="fixed"/>
        <w:tblLook w:firstRow="0" w:lastRow="0" w:firstColumn="0" w:lastColumn="0" w:noHBand="0" w:noVBand="0" w:val="0000"/>
      </w:tblPr>
      <w:tblGrid>
        <w:gridCol w:w="7920"/>
      </w:tblGrid>
      <w:tr>
        <w:tc>
          <w:tcPr/>
          <w:bookmarkStart w:id="81" w:name="fig-one"/>
          <w:p>
            <w:pPr>
              <w:pStyle w:val="Compact"/>
              <w:jc w:val="center"/>
            </w:pPr>
            <w:r>
              <w:drawing>
                <wp:inline>
                  <wp:extent cx="3810000" cy="2540000"/>
                  <wp:effectExtent b="0" l="0" r="0" t="0"/>
                  <wp:docPr descr="" title="" id="79" name="Picture"/>
                  <a:graphic>
                    <a:graphicData uri="http://schemas.openxmlformats.org/drawingml/2006/picture">
                      <pic:pic>
                        <pic:nvPicPr>
                          <pic:cNvPr descr="figure_1.jpg" id="80"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Mean egg perimeter (mm) plotted against clutch size for the first (salmon) and second (blue) clutches of n = 42 female European earwigs (</w:t>
            </w:r>
            <w:r>
              <w:rPr>
                <w:i/>
                <w:iCs/>
              </w:rPr>
              <w:t xml:space="preserve">F. auricularia</w:t>
            </w:r>
            <w:r>
              <w:t xml:space="preserve">). Data are raw values.</w:t>
            </w:r>
          </w:p>
          <w:bookmarkEnd w:id="8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 w:name="fig-two"/>
          <w:p>
            <w:pPr>
              <w:pStyle w:val="Compact"/>
              <w:jc w:val="center"/>
            </w:pPr>
            <w:r>
              <w:drawing>
                <wp:inline>
                  <wp:extent cx="3810000" cy="2540000"/>
                  <wp:effectExtent b="0" l="0" r="0" t="0"/>
                  <wp:docPr descr="" title="" id="83" name="Picture"/>
                  <a:graphic>
                    <a:graphicData uri="http://schemas.openxmlformats.org/drawingml/2006/picture">
                      <pic:pic>
                        <pic:nvPicPr>
                          <pic:cNvPr descr="figure_2.jpg" id="84"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Among and (b) within-female egg size variation in the first and second clutches of n = 42 female European earwigs (</w:t>
            </w:r>
            <w:r>
              <w:rPr>
                <w:i/>
                <w:iCs/>
              </w:rPr>
              <w:t xml:space="preserve">F. auricularia</w:t>
            </w:r>
            <w:r>
              <w:t xml:space="preserve">).</w:t>
            </w:r>
          </w:p>
          <w:bookmarkEnd w:id="85"/>
        </w:tc>
      </w:tr>
    </w:tbl>
    <w:bookmarkEnd w:id="86"/>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8" Target="media/rId78.jpg" /><Relationship Type="http://schemas.openxmlformats.org/officeDocument/2006/relationships/image" Id="rId82" Target="media/rId82.jp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dcterms:created xsi:type="dcterms:W3CDTF">2026-01-05T14:34:51Z</dcterms:created>
  <dcterms:modified xsi:type="dcterms:W3CDTF">2026-01-05T14:34:51Z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functional-ecology.csl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