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C7894" w14:textId="67016AA0" w:rsidR="00865416" w:rsidRPr="00865416" w:rsidRDefault="00865416" w:rsidP="00865416">
      <w:pPr>
        <w:spacing w:after="0" w:line="240" w:lineRule="auto"/>
        <w:rPr>
          <w:rFonts w:ascii="Times New Roman" w:eastAsia="Times New Roman" w:hAnsi="Times New Roman" w:cs="Times New Roman"/>
          <w:color w:val="000000"/>
          <w:kern w:val="0"/>
          <w14:ligatures w14:val="none"/>
        </w:rPr>
      </w:pPr>
      <w:r w:rsidRPr="00865416">
        <w:rPr>
          <w:rFonts w:ascii="Times New Roman" w:eastAsia="Times New Roman" w:hAnsi="Times New Roman" w:cs="Times New Roman"/>
          <w:color w:val="000000"/>
          <w:kern w:val="0"/>
          <w14:ligatures w14:val="none"/>
        </w:rPr>
        <w:t xml:space="preserve">Dear </w:t>
      </w:r>
      <w:r w:rsidR="00581F28">
        <w:rPr>
          <w:rFonts w:ascii="Times New Roman" w:eastAsia="Times New Roman" w:hAnsi="Times New Roman" w:cs="Times New Roman"/>
          <w:color w:val="000000"/>
          <w:kern w:val="0"/>
          <w14:ligatures w14:val="none"/>
        </w:rPr>
        <w:t>Dr Huang</w:t>
      </w:r>
      <w:r w:rsidRPr="00865416">
        <w:rPr>
          <w:rFonts w:ascii="Times New Roman" w:eastAsia="Times New Roman" w:hAnsi="Times New Roman" w:cs="Times New Roman"/>
          <w:color w:val="000000"/>
          <w:kern w:val="0"/>
          <w14:ligatures w14:val="none"/>
        </w:rPr>
        <w:t>,</w:t>
      </w:r>
    </w:p>
    <w:p w14:paraId="3D365D56" w14:textId="77777777" w:rsidR="00581F28" w:rsidRDefault="00581F28" w:rsidP="00865416">
      <w:pPr>
        <w:spacing w:after="0" w:line="240" w:lineRule="auto"/>
        <w:rPr>
          <w:rFonts w:ascii="Times New Roman" w:eastAsia="Times New Roman" w:hAnsi="Times New Roman" w:cs="Times New Roman"/>
          <w:color w:val="000000"/>
          <w:kern w:val="0"/>
          <w14:ligatures w14:val="none"/>
        </w:rPr>
      </w:pPr>
      <w:bookmarkStart w:id="0" w:name="OLE_LINK6"/>
    </w:p>
    <w:bookmarkEnd w:id="0"/>
    <w:p w14:paraId="42DBC01B" w14:textId="14F6316D" w:rsidR="00581F28" w:rsidRDefault="00581F28" w:rsidP="00581F28">
      <w:pPr>
        <w:spacing w:after="0" w:line="240" w:lineRule="auto"/>
        <w:rPr>
          <w:rFonts w:ascii="Times New Roman" w:eastAsia="Times New Roman" w:hAnsi="Times New Roman" w:cs="Times New Roman"/>
          <w:color w:val="000000"/>
          <w:kern w:val="0"/>
          <w14:ligatures w14:val="none"/>
        </w:rPr>
      </w:pPr>
      <w:r w:rsidRPr="00581F28">
        <w:rPr>
          <w:rFonts w:ascii="Times New Roman" w:eastAsia="Times New Roman" w:hAnsi="Times New Roman" w:cs="Times New Roman"/>
          <w:color w:val="000000"/>
          <w:kern w:val="0"/>
          <w14:ligatures w14:val="none"/>
        </w:rPr>
        <w:t xml:space="preserve">Thank you for handling our manuscript and for coordinating the review process. I appreciate the </w:t>
      </w:r>
      <w:r>
        <w:rPr>
          <w:rFonts w:ascii="Times New Roman" w:eastAsia="Times New Roman" w:hAnsi="Times New Roman" w:cs="Times New Roman"/>
          <w:color w:val="000000"/>
          <w:kern w:val="0"/>
          <w14:ligatures w14:val="none"/>
        </w:rPr>
        <w:t xml:space="preserve">reviewers' </w:t>
      </w:r>
      <w:r w:rsidRPr="00581F28">
        <w:rPr>
          <w:rFonts w:ascii="Times New Roman" w:eastAsia="Times New Roman" w:hAnsi="Times New Roman" w:cs="Times New Roman"/>
          <w:color w:val="000000"/>
          <w:kern w:val="0"/>
          <w14:ligatures w14:val="none"/>
        </w:rPr>
        <w:t>time and effort and have carefully revised the manuscript again in response to their comments.</w:t>
      </w:r>
    </w:p>
    <w:p w14:paraId="04423311" w14:textId="77777777" w:rsidR="00581F28" w:rsidRPr="00581F28" w:rsidRDefault="00581F28" w:rsidP="00581F28">
      <w:pPr>
        <w:spacing w:after="0" w:line="240" w:lineRule="auto"/>
        <w:rPr>
          <w:rFonts w:ascii="Times New Roman" w:eastAsia="Times New Roman" w:hAnsi="Times New Roman" w:cs="Times New Roman"/>
          <w:color w:val="000000"/>
          <w:kern w:val="0"/>
          <w14:ligatures w14:val="none"/>
        </w:rPr>
      </w:pPr>
    </w:p>
    <w:p w14:paraId="0365A99F" w14:textId="0B17E0D1" w:rsidR="00581F28" w:rsidRDefault="00581F28" w:rsidP="00581F28">
      <w:pPr>
        <w:spacing w:after="0" w:line="240" w:lineRule="auto"/>
        <w:rPr>
          <w:rFonts w:ascii="Times New Roman" w:eastAsia="Times New Roman" w:hAnsi="Times New Roman" w:cs="Times New Roman"/>
          <w:color w:val="000000"/>
          <w:kern w:val="0"/>
          <w14:ligatures w14:val="none"/>
        </w:rPr>
      </w:pPr>
      <w:r w:rsidRPr="00581F28">
        <w:rPr>
          <w:rFonts w:ascii="Times New Roman" w:eastAsia="Times New Roman" w:hAnsi="Times New Roman" w:cs="Times New Roman"/>
          <w:color w:val="000000"/>
          <w:kern w:val="0"/>
          <w14:ligatures w14:val="none"/>
        </w:rPr>
        <w:t>However, I would like to raise a concern regarding Reviewer #2 (listed as Reviewer #1 in this latest round). While I have addressed their comments in good faith, their primary concern continues to cent</w:t>
      </w:r>
      <w:r>
        <w:rPr>
          <w:rFonts w:ascii="Times New Roman" w:eastAsia="Times New Roman" w:hAnsi="Times New Roman" w:cs="Times New Roman"/>
          <w:color w:val="000000"/>
          <w:kern w:val="0"/>
          <w14:ligatures w14:val="none"/>
        </w:rPr>
        <w:t>re</w:t>
      </w:r>
      <w:r w:rsidRPr="00581F28">
        <w:rPr>
          <w:rFonts w:ascii="Times New Roman" w:eastAsia="Times New Roman" w:hAnsi="Times New Roman" w:cs="Times New Roman"/>
          <w:color w:val="000000"/>
          <w:kern w:val="0"/>
          <w14:ligatures w14:val="none"/>
        </w:rPr>
        <w:t xml:space="preserve"> on the use of the within–between decomposition approach of van de Pol and Wright (2009). This is a well-established and widely adopted method for separating within- and among-individual effects in mixed models, and it has been used extensively in behavioural ecology and life-history research for over a decade to address precisely the type of question considered here.</w:t>
      </w:r>
    </w:p>
    <w:p w14:paraId="76465660" w14:textId="77777777" w:rsidR="00581F28" w:rsidRPr="00581F28" w:rsidRDefault="00581F28" w:rsidP="00581F28">
      <w:pPr>
        <w:spacing w:after="0" w:line="240" w:lineRule="auto"/>
        <w:rPr>
          <w:rFonts w:ascii="Times New Roman" w:eastAsia="Times New Roman" w:hAnsi="Times New Roman" w:cs="Times New Roman"/>
          <w:color w:val="000000"/>
          <w:kern w:val="0"/>
          <w14:ligatures w14:val="none"/>
        </w:rPr>
      </w:pPr>
    </w:p>
    <w:p w14:paraId="6E28FC1F" w14:textId="018A8F65" w:rsidR="00581F28" w:rsidRDefault="00581F28" w:rsidP="00581F28">
      <w:pPr>
        <w:spacing w:after="0" w:line="240" w:lineRule="auto"/>
        <w:rPr>
          <w:rFonts w:ascii="Times New Roman" w:eastAsia="Times New Roman" w:hAnsi="Times New Roman" w:cs="Times New Roman"/>
          <w:color w:val="000000"/>
          <w:kern w:val="0"/>
          <w14:ligatures w14:val="none"/>
        </w:rPr>
      </w:pPr>
      <w:r w:rsidRPr="00581F28">
        <w:rPr>
          <w:rFonts w:ascii="Times New Roman" w:eastAsia="Times New Roman" w:hAnsi="Times New Roman" w:cs="Times New Roman"/>
          <w:color w:val="000000"/>
          <w:kern w:val="0"/>
          <w14:ligatures w14:val="none"/>
        </w:rPr>
        <w:t xml:space="preserve">In this context, the reviewer’s objections do not appear to reflect a limitation in </w:t>
      </w:r>
      <w:r>
        <w:rPr>
          <w:rFonts w:ascii="Times New Roman" w:eastAsia="Times New Roman" w:hAnsi="Times New Roman" w:cs="Times New Roman"/>
          <w:color w:val="000000"/>
          <w:kern w:val="0"/>
          <w14:ligatures w14:val="none"/>
        </w:rPr>
        <w:t>the method</w:t>
      </w:r>
      <w:r>
        <w:rPr>
          <w:rFonts w:ascii="Times New Roman" w:eastAsia="Times New Roman" w:hAnsi="Times New Roman" w:cs="Times New Roman"/>
          <w:color w:val="000000"/>
          <w:kern w:val="0"/>
          <w14:ligatures w14:val="none"/>
        </w:rPr>
        <w:t>’</w:t>
      </w:r>
      <w:r>
        <w:rPr>
          <w:rFonts w:ascii="Times New Roman" w:eastAsia="Times New Roman" w:hAnsi="Times New Roman" w:cs="Times New Roman"/>
          <w:color w:val="000000"/>
          <w:kern w:val="0"/>
          <w14:ligatures w14:val="none"/>
        </w:rPr>
        <w:t>s implementation in the present manuscript, but rather a broader disagreement with the approach's validity.</w:t>
      </w:r>
      <w:r w:rsidRPr="00581F28">
        <w:rPr>
          <w:rFonts w:ascii="Times New Roman" w:eastAsia="Times New Roman" w:hAnsi="Times New Roman" w:cs="Times New Roman"/>
          <w:color w:val="000000"/>
          <w:kern w:val="0"/>
          <w14:ligatures w14:val="none"/>
        </w:rPr>
        <w:t xml:space="preserve"> I have clarified the implementation and underlying assumptions in detail in the revised manuscript; however, fully resolving </w:t>
      </w:r>
      <w:r>
        <w:rPr>
          <w:rFonts w:ascii="Times New Roman" w:eastAsia="Times New Roman" w:hAnsi="Times New Roman" w:cs="Times New Roman"/>
          <w:color w:val="000000"/>
          <w:kern w:val="0"/>
          <w14:ligatures w14:val="none"/>
        </w:rPr>
        <w:t xml:space="preserve">such </w:t>
      </w:r>
      <w:r w:rsidRPr="00581F28">
        <w:rPr>
          <w:rFonts w:ascii="Times New Roman" w:eastAsia="Times New Roman" w:hAnsi="Times New Roman" w:cs="Times New Roman"/>
          <w:color w:val="000000"/>
          <w:kern w:val="0"/>
          <w14:ligatures w14:val="none"/>
        </w:rPr>
        <w:t>a general methodological disagreement would extend beyond the scope of this study. Importantly, the approach used here is consistent with current best practices for partitioning hierarchical covariance, and I am not aware of any general concerns in the literature that would preclude its use in this context.</w:t>
      </w:r>
    </w:p>
    <w:p w14:paraId="7572BBCA" w14:textId="77777777" w:rsidR="00581F28" w:rsidRPr="00581F28" w:rsidRDefault="00581F28" w:rsidP="00581F28">
      <w:pPr>
        <w:spacing w:after="0" w:line="240" w:lineRule="auto"/>
        <w:rPr>
          <w:rFonts w:ascii="Times New Roman" w:eastAsia="Times New Roman" w:hAnsi="Times New Roman" w:cs="Times New Roman"/>
          <w:color w:val="000000"/>
          <w:kern w:val="0"/>
          <w14:ligatures w14:val="none"/>
        </w:rPr>
      </w:pPr>
    </w:p>
    <w:p w14:paraId="355D166A" w14:textId="77777777" w:rsidR="00581F28" w:rsidRDefault="00581F28" w:rsidP="00581F28">
      <w:pPr>
        <w:spacing w:after="0" w:line="240" w:lineRule="auto"/>
        <w:rPr>
          <w:rFonts w:ascii="Times New Roman" w:eastAsia="Times New Roman" w:hAnsi="Times New Roman" w:cs="Times New Roman"/>
          <w:color w:val="000000"/>
          <w:kern w:val="0"/>
          <w14:ligatures w14:val="none"/>
        </w:rPr>
      </w:pPr>
      <w:r w:rsidRPr="00581F28">
        <w:rPr>
          <w:rFonts w:ascii="Times New Roman" w:eastAsia="Times New Roman" w:hAnsi="Times New Roman" w:cs="Times New Roman"/>
          <w:color w:val="000000"/>
          <w:kern w:val="0"/>
          <w14:ligatures w14:val="none"/>
        </w:rPr>
        <w:t>Given this, the reviewer’s continued objections appear to reflect a difference in perspective on an established framework rather than a specific, remediable issue with the manuscript. As such, it is unclear whether further revision would meaningfully address these concerns.</w:t>
      </w:r>
    </w:p>
    <w:p w14:paraId="575F831A" w14:textId="77777777" w:rsidR="00581F28" w:rsidRPr="00581F28" w:rsidRDefault="00581F28" w:rsidP="00581F28">
      <w:pPr>
        <w:spacing w:after="0" w:line="240" w:lineRule="auto"/>
        <w:rPr>
          <w:rFonts w:ascii="Times New Roman" w:eastAsia="Times New Roman" w:hAnsi="Times New Roman" w:cs="Times New Roman"/>
          <w:color w:val="000000"/>
          <w:kern w:val="0"/>
          <w14:ligatures w14:val="none"/>
        </w:rPr>
      </w:pPr>
    </w:p>
    <w:p w14:paraId="4F31C297" w14:textId="4676FDA2" w:rsidR="00581F28" w:rsidRDefault="00581F28" w:rsidP="00581F28">
      <w:pPr>
        <w:spacing w:after="0" w:line="240" w:lineRule="auto"/>
        <w:rPr>
          <w:rFonts w:ascii="Times New Roman" w:eastAsia="Times New Roman" w:hAnsi="Times New Roman" w:cs="Times New Roman"/>
          <w:color w:val="000000"/>
          <w:kern w:val="0"/>
          <w14:ligatures w14:val="none"/>
        </w:rPr>
      </w:pPr>
      <w:r w:rsidRPr="00581F28">
        <w:rPr>
          <w:rFonts w:ascii="Times New Roman" w:eastAsia="Times New Roman" w:hAnsi="Times New Roman" w:cs="Times New Roman"/>
          <w:color w:val="000000"/>
          <w:kern w:val="0"/>
          <w14:ligatures w14:val="none"/>
        </w:rPr>
        <w:t>I fully recogni</w:t>
      </w:r>
      <w:r>
        <w:rPr>
          <w:rFonts w:ascii="Times New Roman" w:eastAsia="Times New Roman" w:hAnsi="Times New Roman" w:cs="Times New Roman"/>
          <w:color w:val="000000"/>
          <w:kern w:val="0"/>
          <w14:ligatures w14:val="none"/>
        </w:rPr>
        <w:t>s</w:t>
      </w:r>
      <w:r w:rsidRPr="00581F28">
        <w:rPr>
          <w:rFonts w:ascii="Times New Roman" w:eastAsia="Times New Roman" w:hAnsi="Times New Roman" w:cs="Times New Roman"/>
          <w:color w:val="000000"/>
          <w:kern w:val="0"/>
          <w14:ligatures w14:val="none"/>
        </w:rPr>
        <w:t xml:space="preserve">e the importance of rigorous peer review and have taken all comments seriously. However, I am concerned that continued rounds of revision focused on this issue may not substantially improve the manuscript and may instead risk </w:t>
      </w:r>
      <w:proofErr w:type="gramStart"/>
      <w:r w:rsidRPr="00581F28">
        <w:rPr>
          <w:rFonts w:ascii="Times New Roman" w:eastAsia="Times New Roman" w:hAnsi="Times New Roman" w:cs="Times New Roman"/>
          <w:color w:val="000000"/>
          <w:kern w:val="0"/>
          <w14:ligatures w14:val="none"/>
        </w:rPr>
        <w:t>obscuring</w:t>
      </w:r>
      <w:proofErr w:type="gramEnd"/>
      <w:r w:rsidRPr="00581F28">
        <w:rPr>
          <w:rFonts w:ascii="Times New Roman" w:eastAsia="Times New Roman" w:hAnsi="Times New Roman" w:cs="Times New Roman"/>
          <w:color w:val="000000"/>
          <w:kern w:val="0"/>
          <w14:ligatures w14:val="none"/>
        </w:rPr>
        <w:t xml:space="preserve"> its primary contribution.</w:t>
      </w:r>
    </w:p>
    <w:p w14:paraId="48081702" w14:textId="77777777" w:rsidR="00581F28" w:rsidRPr="00581F28" w:rsidRDefault="00581F28" w:rsidP="00581F28">
      <w:pPr>
        <w:spacing w:after="0" w:line="240" w:lineRule="auto"/>
        <w:rPr>
          <w:rFonts w:ascii="Times New Roman" w:eastAsia="Times New Roman" w:hAnsi="Times New Roman" w:cs="Times New Roman"/>
          <w:color w:val="000000"/>
          <w:kern w:val="0"/>
          <w14:ligatures w14:val="none"/>
        </w:rPr>
      </w:pPr>
    </w:p>
    <w:p w14:paraId="4302EBC7" w14:textId="5DED0A23" w:rsidR="00581F28" w:rsidRPr="00581F28" w:rsidRDefault="00581F28" w:rsidP="00581F28">
      <w:pPr>
        <w:spacing w:after="0" w:line="240" w:lineRule="auto"/>
        <w:rPr>
          <w:rFonts w:ascii="Times New Roman" w:eastAsia="Times New Roman" w:hAnsi="Times New Roman" w:cs="Times New Roman"/>
          <w:color w:val="000000"/>
          <w:kern w:val="0"/>
          <w14:ligatures w14:val="none"/>
        </w:rPr>
      </w:pPr>
      <w:r w:rsidRPr="00581F28">
        <w:rPr>
          <w:rFonts w:ascii="Times New Roman" w:eastAsia="Times New Roman" w:hAnsi="Times New Roman" w:cs="Times New Roman"/>
          <w:color w:val="000000"/>
          <w:kern w:val="0"/>
          <w14:ligatures w14:val="none"/>
        </w:rPr>
        <w:t xml:space="preserve">I would therefore be grateful for your guidance on how best to proceed, </w:t>
      </w:r>
      <w:proofErr w:type="gramStart"/>
      <w:r w:rsidRPr="00581F28">
        <w:rPr>
          <w:rFonts w:ascii="Times New Roman" w:eastAsia="Times New Roman" w:hAnsi="Times New Roman" w:cs="Times New Roman"/>
          <w:color w:val="000000"/>
          <w:kern w:val="0"/>
          <w14:ligatures w14:val="none"/>
        </w:rPr>
        <w:t>and in particular</w:t>
      </w:r>
      <w:r>
        <w:rPr>
          <w:rFonts w:ascii="Times New Roman" w:eastAsia="Times New Roman" w:hAnsi="Times New Roman" w:cs="Times New Roman"/>
          <w:color w:val="000000"/>
          <w:kern w:val="0"/>
          <w14:ligatures w14:val="none"/>
        </w:rPr>
        <w:t>,</w:t>
      </w:r>
      <w:r w:rsidRPr="00581F28">
        <w:rPr>
          <w:rFonts w:ascii="Times New Roman" w:eastAsia="Times New Roman" w:hAnsi="Times New Roman" w:cs="Times New Roman"/>
          <w:color w:val="000000"/>
          <w:kern w:val="0"/>
          <w14:ligatures w14:val="none"/>
        </w:rPr>
        <w:t xml:space="preserve"> whether</w:t>
      </w:r>
      <w:proofErr w:type="gramEnd"/>
      <w:r w:rsidRPr="00581F28">
        <w:rPr>
          <w:rFonts w:ascii="Times New Roman" w:eastAsia="Times New Roman" w:hAnsi="Times New Roman" w:cs="Times New Roman"/>
          <w:color w:val="000000"/>
          <w:kern w:val="0"/>
          <w14:ligatures w14:val="none"/>
        </w:rPr>
        <w:t xml:space="preserve"> you feel that the remaining concerns raised by Reviewer #2 are essential for publication, or whether the manuscript in its current revised form adequately addresses the key scientific issues.</w:t>
      </w:r>
    </w:p>
    <w:p w14:paraId="4695D688" w14:textId="77777777" w:rsidR="00865416" w:rsidRPr="00865416" w:rsidRDefault="00865416" w:rsidP="00865416">
      <w:pPr>
        <w:spacing w:after="0" w:line="240" w:lineRule="auto"/>
        <w:rPr>
          <w:rFonts w:ascii="Times New Roman" w:eastAsia="Times New Roman" w:hAnsi="Times New Roman" w:cs="Times New Roman"/>
          <w:color w:val="000000"/>
          <w:kern w:val="0"/>
          <w14:ligatures w14:val="none"/>
        </w:rPr>
      </w:pPr>
    </w:p>
    <w:p w14:paraId="68723A1E" w14:textId="77777777" w:rsidR="00865416" w:rsidRPr="00865416" w:rsidRDefault="00865416" w:rsidP="00865416">
      <w:pPr>
        <w:spacing w:after="0" w:line="240" w:lineRule="auto"/>
        <w:rPr>
          <w:rFonts w:ascii="Times New Roman" w:eastAsia="Times New Roman" w:hAnsi="Times New Roman" w:cs="Times New Roman"/>
          <w:color w:val="000000"/>
          <w:kern w:val="0"/>
          <w14:ligatures w14:val="none"/>
        </w:rPr>
      </w:pPr>
      <w:r w:rsidRPr="00865416">
        <w:rPr>
          <w:rFonts w:ascii="Times New Roman" w:eastAsia="Times New Roman" w:hAnsi="Times New Roman" w:cs="Times New Roman"/>
          <w:color w:val="000000"/>
          <w:kern w:val="0"/>
          <w14:ligatures w14:val="none"/>
        </w:rPr>
        <w:t>Thank you again for your time and consideration.</w:t>
      </w:r>
    </w:p>
    <w:p w14:paraId="72E917E1" w14:textId="77777777" w:rsidR="00581F28" w:rsidRDefault="00581F28" w:rsidP="00865416">
      <w:pPr>
        <w:spacing w:after="0" w:line="240" w:lineRule="auto"/>
        <w:rPr>
          <w:rFonts w:ascii="Times New Roman" w:eastAsia="Times New Roman" w:hAnsi="Times New Roman" w:cs="Times New Roman"/>
          <w:color w:val="000000"/>
          <w:kern w:val="0"/>
          <w14:ligatures w14:val="none"/>
        </w:rPr>
      </w:pPr>
    </w:p>
    <w:p w14:paraId="012C8A10" w14:textId="3C6467A6" w:rsidR="00865416" w:rsidRPr="00865416" w:rsidRDefault="00865416" w:rsidP="00865416">
      <w:pPr>
        <w:spacing w:after="0" w:line="240" w:lineRule="auto"/>
        <w:rPr>
          <w:rFonts w:ascii="Times New Roman" w:eastAsia="Times New Roman" w:hAnsi="Times New Roman" w:cs="Times New Roman"/>
          <w:color w:val="000000"/>
          <w:kern w:val="0"/>
          <w14:ligatures w14:val="none"/>
        </w:rPr>
      </w:pPr>
      <w:r w:rsidRPr="00865416">
        <w:rPr>
          <w:rFonts w:ascii="Times New Roman" w:eastAsia="Times New Roman" w:hAnsi="Times New Roman" w:cs="Times New Roman"/>
          <w:color w:val="000000"/>
          <w:kern w:val="0"/>
          <w14:ligatures w14:val="none"/>
        </w:rPr>
        <w:t>Sincerely,</w:t>
      </w:r>
      <w:r w:rsidRPr="00865416">
        <w:rPr>
          <w:rFonts w:ascii="Times New Roman" w:eastAsia="Times New Roman" w:hAnsi="Times New Roman" w:cs="Times New Roman"/>
          <w:color w:val="000000"/>
          <w:kern w:val="0"/>
          <w14:ligatures w14:val="none"/>
        </w:rPr>
        <w:br/>
      </w:r>
      <w:r w:rsidR="00581F28">
        <w:rPr>
          <w:rFonts w:ascii="Times New Roman" w:eastAsia="Times New Roman" w:hAnsi="Times New Roman" w:cs="Times New Roman"/>
          <w:color w:val="000000"/>
          <w:kern w:val="0"/>
          <w14:ligatures w14:val="none"/>
        </w:rPr>
        <w:t>Clint Kelly</w:t>
      </w:r>
    </w:p>
    <w:p w14:paraId="1E660C44" w14:textId="77777777" w:rsidR="00865416" w:rsidRDefault="00865416" w:rsidP="0004019C">
      <w:pPr>
        <w:spacing w:after="0" w:line="240" w:lineRule="auto"/>
        <w:rPr>
          <w:rFonts w:ascii="Helvetica" w:eastAsia="Times New Roman" w:hAnsi="Helvetica" w:cs="Times New Roman"/>
          <w:b/>
          <w:bCs/>
          <w:color w:val="000000"/>
          <w:kern w:val="0"/>
          <w:sz w:val="18"/>
          <w:szCs w:val="18"/>
          <w14:ligatures w14:val="none"/>
        </w:rPr>
      </w:pPr>
    </w:p>
    <w:p w14:paraId="00A83CDA" w14:textId="77777777" w:rsidR="00865416" w:rsidRDefault="00865416" w:rsidP="0004019C">
      <w:pPr>
        <w:spacing w:after="0" w:line="240" w:lineRule="auto"/>
        <w:rPr>
          <w:rFonts w:ascii="Helvetica" w:eastAsia="Times New Roman" w:hAnsi="Helvetica" w:cs="Times New Roman"/>
          <w:b/>
          <w:bCs/>
          <w:color w:val="000000"/>
          <w:kern w:val="0"/>
          <w:sz w:val="18"/>
          <w:szCs w:val="18"/>
          <w14:ligatures w14:val="none"/>
        </w:rPr>
      </w:pPr>
    </w:p>
    <w:p w14:paraId="34D1F47B" w14:textId="4BF13C6F" w:rsidR="0004019C" w:rsidRDefault="0004019C" w:rsidP="0004019C">
      <w:pPr>
        <w:spacing w:after="0" w:line="240" w:lineRule="auto"/>
        <w:rPr>
          <w:rFonts w:ascii="Helvetica" w:eastAsia="Times New Roman" w:hAnsi="Helvetica" w:cs="Times New Roman"/>
          <w:b/>
          <w:bCs/>
          <w:color w:val="000000"/>
          <w:kern w:val="0"/>
          <w:sz w:val="18"/>
          <w:szCs w:val="18"/>
          <w14:ligatures w14:val="none"/>
        </w:rPr>
      </w:pPr>
      <w:r w:rsidRPr="0004019C">
        <w:rPr>
          <w:rFonts w:ascii="Helvetica" w:eastAsia="Times New Roman" w:hAnsi="Helvetica" w:cs="Times New Roman"/>
          <w:b/>
          <w:bCs/>
          <w:color w:val="000000"/>
          <w:kern w:val="0"/>
          <w:sz w:val="18"/>
          <w:szCs w:val="18"/>
          <w14:ligatures w14:val="none"/>
        </w:rPr>
        <w:t>Reviewer: 1</w:t>
      </w:r>
      <w:r w:rsidRPr="0004019C">
        <w:rPr>
          <w:rFonts w:ascii="Helvetica" w:eastAsia="Times New Roman" w:hAnsi="Helvetica" w:cs="Times New Roman"/>
          <w:b/>
          <w:bCs/>
          <w:color w:val="000000"/>
          <w:kern w:val="0"/>
          <w:sz w:val="18"/>
          <w:szCs w:val="18"/>
          <w14:ligatures w14:val="none"/>
        </w:rPr>
        <w:br/>
      </w:r>
      <w:r w:rsidRPr="0004019C">
        <w:rPr>
          <w:rFonts w:ascii="Helvetica" w:eastAsia="Times New Roman" w:hAnsi="Helvetica" w:cs="Times New Roman"/>
          <w:b/>
          <w:bCs/>
          <w:color w:val="000000"/>
          <w:kern w:val="0"/>
          <w:sz w:val="18"/>
          <w:szCs w:val="18"/>
          <w14:ligatures w14:val="none"/>
        </w:rPr>
        <w:br/>
        <w:t>Recommendation: Reject</w:t>
      </w:r>
      <w:r w:rsidRPr="0004019C">
        <w:rPr>
          <w:rFonts w:ascii="Helvetica" w:eastAsia="Times New Roman" w:hAnsi="Helvetica" w:cs="Times New Roman"/>
          <w:b/>
          <w:bCs/>
          <w:color w:val="000000"/>
          <w:kern w:val="0"/>
          <w:sz w:val="18"/>
          <w:szCs w:val="18"/>
          <w14:ligatures w14:val="none"/>
        </w:rPr>
        <w:br/>
      </w:r>
      <w:r w:rsidRPr="0004019C">
        <w:rPr>
          <w:rFonts w:ascii="Helvetica" w:eastAsia="Times New Roman" w:hAnsi="Helvetica" w:cs="Times New Roman"/>
          <w:b/>
          <w:bCs/>
          <w:color w:val="000000"/>
          <w:kern w:val="0"/>
          <w:sz w:val="18"/>
          <w:szCs w:val="18"/>
          <w14:ligatures w14:val="none"/>
        </w:rPr>
        <w:br/>
        <w:t>Comments:</w:t>
      </w:r>
      <w:r w:rsidRPr="0004019C">
        <w:rPr>
          <w:rFonts w:ascii="Helvetica" w:eastAsia="Times New Roman" w:hAnsi="Helvetica" w:cs="Times New Roman"/>
          <w:b/>
          <w:bCs/>
          <w:color w:val="000000"/>
          <w:kern w:val="0"/>
          <w:sz w:val="18"/>
          <w:szCs w:val="18"/>
          <w14:ligatures w14:val="none"/>
        </w:rPr>
        <w:br/>
      </w:r>
      <w:bookmarkStart w:id="1" w:name="OLE_LINK5"/>
      <w:r w:rsidRPr="0004019C">
        <w:rPr>
          <w:rFonts w:ascii="Helvetica" w:eastAsia="Times New Roman" w:hAnsi="Helvetica" w:cs="Times New Roman"/>
          <w:b/>
          <w:bCs/>
          <w:color w:val="000000"/>
          <w:kern w:val="0"/>
          <w:sz w:val="18"/>
          <w:szCs w:val="18"/>
          <w14:ligatures w14:val="none"/>
        </w:rPr>
        <w:t>It would be helpful to explain the nuances in the results of Koch and Meunier (2014) in the manuscript instead of the cover letter.</w:t>
      </w:r>
      <w:bookmarkEnd w:id="1"/>
    </w:p>
    <w:p w14:paraId="5A11446D" w14:textId="77777777" w:rsidR="0004019C" w:rsidRDefault="0004019C" w:rsidP="0004019C">
      <w:pPr>
        <w:spacing w:after="0" w:line="240" w:lineRule="auto"/>
        <w:rPr>
          <w:rFonts w:ascii="Helvetica" w:eastAsia="Times New Roman" w:hAnsi="Helvetica" w:cs="Times New Roman"/>
          <w:b/>
          <w:bCs/>
          <w:color w:val="000000"/>
          <w:kern w:val="0"/>
          <w:sz w:val="18"/>
          <w:szCs w:val="18"/>
          <w14:ligatures w14:val="none"/>
        </w:rPr>
      </w:pPr>
    </w:p>
    <w:p w14:paraId="7DA36B44" w14:textId="2B3A7B6F" w:rsidR="00E22DC5" w:rsidRDefault="00E22DC5" w:rsidP="00E22DC5">
      <w:pPr>
        <w:pStyle w:val="NormalWeb"/>
        <w:rPr>
          <w:color w:val="000000"/>
        </w:rPr>
      </w:pPr>
      <w:r>
        <w:rPr>
          <w:color w:val="000000"/>
        </w:rPr>
        <w:lastRenderedPageBreak/>
        <w:t xml:space="preserve">Thank you for this suggestion. </w:t>
      </w:r>
      <w:r>
        <w:rPr>
          <w:color w:val="000000"/>
        </w:rPr>
        <w:t>I</w:t>
      </w:r>
      <w:r>
        <w:rPr>
          <w:color w:val="000000"/>
        </w:rPr>
        <w:t xml:space="preserve"> agree that additional clarification would help readers interpret the existing literature. Our intention in citing Koch and Meunier (2014) was simply to highlight that empirical patterns of covariation between egg size and egg number in earwigs are not straightforward. </w:t>
      </w:r>
      <w:r>
        <w:rPr>
          <w:color w:val="000000"/>
        </w:rPr>
        <w:t>I</w:t>
      </w:r>
      <w:r>
        <w:rPr>
          <w:color w:val="000000"/>
        </w:rPr>
        <w:t xml:space="preserve"> have now revised the manuscript to make this clearer, noting that their results do not provide a definitive pattern regarding the direction or strength of the size–number relationship, rather than implying a specific outcome.</w:t>
      </w:r>
    </w:p>
    <w:p w14:paraId="4801E950" w14:textId="574B6AF1" w:rsidR="0004019C" w:rsidRPr="00E22DC5" w:rsidRDefault="00E22DC5" w:rsidP="00E22DC5">
      <w:pPr>
        <w:pStyle w:val="NormalWeb"/>
        <w:rPr>
          <w:color w:val="000000"/>
        </w:rPr>
      </w:pPr>
      <w:r>
        <w:rPr>
          <w:color w:val="000000"/>
        </w:rPr>
        <w:t xml:space="preserve">Importantly, </w:t>
      </w:r>
      <w:r>
        <w:rPr>
          <w:color w:val="000000"/>
        </w:rPr>
        <w:t>I</w:t>
      </w:r>
      <w:r>
        <w:rPr>
          <w:color w:val="000000"/>
        </w:rPr>
        <w:t xml:space="preserve"> have avoided an extended discussion of methodological differences, as evaluating the statistical treatment in previous studies is beyond the scope of the present paper. Instead, </w:t>
      </w:r>
      <w:r>
        <w:rPr>
          <w:color w:val="000000"/>
        </w:rPr>
        <w:t>I</w:t>
      </w:r>
      <w:r>
        <w:rPr>
          <w:color w:val="000000"/>
        </w:rPr>
        <w:t xml:space="preserve"> now frame Koch and Meunier (2014) as illustrating the broader point that phenotypic associations can be difficult to interpret without explicitly separating within- and among-individual components, which is the focus of our study.</w:t>
      </w:r>
      <w:r w:rsidR="0004019C" w:rsidRPr="0004019C">
        <w:rPr>
          <w:rFonts w:ascii="Helvetica" w:hAnsi="Helvetica"/>
          <w:b/>
          <w:bCs/>
          <w:color w:val="000000"/>
          <w:sz w:val="18"/>
          <w:szCs w:val="18"/>
        </w:rPr>
        <w:br/>
      </w:r>
      <w:r w:rsidR="0004019C" w:rsidRPr="0004019C">
        <w:rPr>
          <w:rFonts w:ascii="Helvetica" w:hAnsi="Helvetica"/>
          <w:b/>
          <w:bCs/>
          <w:color w:val="000000"/>
          <w:sz w:val="18"/>
          <w:szCs w:val="18"/>
        </w:rPr>
        <w:br/>
        <w:t xml:space="preserve">This reviewer remains unconvinced by the statistical approach, which combines a bivariate model and the van der Pol approach, which appears more problematic than simply using one or the other. It is still unclear how the "van der Pol" technique (intra-individual slope) can separate plasticity from something else and thus test for the trade-off, when this isn't possible with residual correlation. Similarly, it remains unclear how the inter-individual slope (van der Pol) captures differences in allocation strategy, when this isn't possible with </w:t>
      </w:r>
      <w:proofErr w:type="gramStart"/>
      <w:r w:rsidR="0004019C" w:rsidRPr="0004019C">
        <w:rPr>
          <w:rFonts w:ascii="Helvetica" w:hAnsi="Helvetica"/>
          <w:b/>
          <w:bCs/>
          <w:color w:val="000000"/>
          <w:sz w:val="18"/>
          <w:szCs w:val="18"/>
        </w:rPr>
        <w:t>a</w:t>
      </w:r>
      <w:proofErr w:type="gramEnd"/>
      <w:r w:rsidR="0004019C" w:rsidRPr="0004019C">
        <w:rPr>
          <w:rFonts w:ascii="Helvetica" w:hAnsi="Helvetica"/>
          <w:b/>
          <w:bCs/>
          <w:color w:val="000000"/>
          <w:sz w:val="18"/>
          <w:szCs w:val="18"/>
        </w:rPr>
        <w:t xml:space="preserve"> ID random effect modelled as a 2x2 co-variance matrix.</w:t>
      </w:r>
    </w:p>
    <w:p w14:paraId="3E9674F5" w14:textId="2C5A87B7" w:rsidR="0004019C" w:rsidRDefault="00E22DC5" w:rsidP="0004019C">
      <w:pPr>
        <w:pStyle w:val="NormalWeb"/>
        <w:rPr>
          <w:color w:val="000000"/>
        </w:rPr>
      </w:pPr>
      <w:r>
        <w:rPr>
          <w:color w:val="000000"/>
        </w:rPr>
        <w:t>I</w:t>
      </w:r>
      <w:r w:rsidR="0004019C">
        <w:rPr>
          <w:color w:val="000000"/>
        </w:rPr>
        <w:t xml:space="preserve"> thank the reviewer for this comment and appreciate the opportunity to clarify the rationale for our analytical approach. The concern appears to stem from treating covariance parameters and regression slopes as equivalent quantities; however, these are fundamentally different, and they address distinct biological questions.</w:t>
      </w:r>
    </w:p>
    <w:p w14:paraId="2D119DC4" w14:textId="77777777" w:rsidR="0004019C" w:rsidRDefault="0004019C" w:rsidP="0004019C">
      <w:pPr>
        <w:pStyle w:val="NormalWeb"/>
        <w:rPr>
          <w:color w:val="000000"/>
        </w:rPr>
      </w:pPr>
      <w:r>
        <w:rPr>
          <w:color w:val="000000"/>
        </w:rPr>
        <w:t>First, the within-individual centering approach (van de Pol &amp; Wright 2009) explicitly separates within- and among-individual components of variation by decomposing egg number into (</w:t>
      </w:r>
      <w:proofErr w:type="spellStart"/>
      <w:r>
        <w:rPr>
          <w:color w:val="000000"/>
        </w:rPr>
        <w:t>i</w:t>
      </w:r>
      <w:proofErr w:type="spellEnd"/>
      <w:r>
        <w:rPr>
          <w:color w:val="000000"/>
        </w:rPr>
        <w:t>) deviations from an individual’s mean and (ii) the individual mean itself. The within-individual slope is therefore estimated from deviations around each female’s mean and isolates how egg size changes as egg number varies within individuals. This provides a direct test of plasticity in allocation, independent of among-individual differences.</w:t>
      </w:r>
    </w:p>
    <w:p w14:paraId="17DE3BFA" w14:textId="77777777" w:rsidR="0004019C" w:rsidRDefault="0004019C" w:rsidP="0004019C">
      <w:pPr>
        <w:pStyle w:val="NormalWeb"/>
        <w:rPr>
          <w:color w:val="000000"/>
        </w:rPr>
      </w:pPr>
      <w:r>
        <w:rPr>
          <w:color w:val="000000"/>
        </w:rPr>
        <w:t>In contrast, residual covariance from a bivariate mixed model does not provide a directional estimate of how egg size changes with egg number within individuals. Residual covariance quantifies the strength of association but does not estimate a regression slope and therefore cannot directly test for a trade-off in the sense of a change in egg size as egg number varies.</w:t>
      </w:r>
    </w:p>
    <w:p w14:paraId="43AF9C25" w14:textId="77777777" w:rsidR="0004019C" w:rsidRDefault="0004019C" w:rsidP="0004019C">
      <w:pPr>
        <w:pStyle w:val="NormalWeb"/>
        <w:rPr>
          <w:color w:val="000000"/>
        </w:rPr>
      </w:pPr>
      <w:r>
        <w:rPr>
          <w:color w:val="000000"/>
        </w:rPr>
        <w:t>Similarly, the between-individual slope in the within-individual centering framework is estimated using individual mean egg number and therefore captures how females that differ in their average egg number also differ in their average egg size. This corresponds directly to differences in allocation strategy among individuals. An ID-level covariance matrix in a bivariate model estimates the correlation between traits among individuals but does not provide a directional estimate of how egg size changes as a function of egg number at the among-individual level. These are not equivalent parameterizations.</w:t>
      </w:r>
    </w:p>
    <w:p w14:paraId="4306055E" w14:textId="51768FA5" w:rsidR="0004019C" w:rsidRDefault="00E22DC5" w:rsidP="0004019C">
      <w:pPr>
        <w:pStyle w:val="NormalWeb"/>
        <w:rPr>
          <w:color w:val="000000"/>
        </w:rPr>
      </w:pPr>
      <w:r>
        <w:rPr>
          <w:color w:val="000000"/>
        </w:rPr>
        <w:t>I</w:t>
      </w:r>
      <w:r w:rsidR="0004019C">
        <w:rPr>
          <w:color w:val="000000"/>
        </w:rPr>
        <w:t xml:space="preserve"> suspect some confusion arises from treating covariance parameters as interchangeable with regression slopes; however, these are distinct quantities, and only slope-based estimates directly test the presence of a trade-off.</w:t>
      </w:r>
    </w:p>
    <w:p w14:paraId="5908BD64" w14:textId="3D62F4C4" w:rsidR="0004019C" w:rsidRDefault="0004019C" w:rsidP="0004019C">
      <w:pPr>
        <w:pStyle w:val="NormalWeb"/>
        <w:rPr>
          <w:color w:val="000000"/>
        </w:rPr>
      </w:pPr>
      <w:r>
        <w:rPr>
          <w:color w:val="000000"/>
        </w:rPr>
        <w:lastRenderedPageBreak/>
        <w:t xml:space="preserve">Importantly, </w:t>
      </w:r>
      <w:r w:rsidR="00E22DC5">
        <w:rPr>
          <w:color w:val="000000"/>
        </w:rPr>
        <w:t>I</w:t>
      </w:r>
      <w:r>
        <w:rPr>
          <w:color w:val="000000"/>
        </w:rPr>
        <w:t xml:space="preserve"> do not view the two approaches as redundant or conflicting. Rather, they are complementary. The bivariate mixed model quantifies the variance and covariance structure of the traits, including repeatability and the level at which associations arise, whereas the within-individual centering approach provides directional, level-specific estimates of the relationship between egg size and egg number. Because our biological question concerns whether egg size changes as egg number varies within and among females, slope-based estimates are required.</w:t>
      </w:r>
    </w:p>
    <w:p w14:paraId="7CA2B7D4" w14:textId="6707D830" w:rsidR="0004019C" w:rsidRPr="0004019C" w:rsidRDefault="0004019C">
      <w:pPr>
        <w:rPr>
          <w:rFonts w:ascii="Helvetica" w:hAnsi="Helvetica"/>
          <w:b/>
          <w:bCs/>
          <w:color w:val="000000"/>
          <w:sz w:val="18"/>
          <w:szCs w:val="18"/>
        </w:rPr>
      </w:pPr>
      <w:r w:rsidRPr="0004019C">
        <w:rPr>
          <w:rFonts w:ascii="Helvetica" w:hAnsi="Helvetica"/>
          <w:b/>
          <w:bCs/>
          <w:color w:val="000000"/>
          <w:sz w:val="18"/>
          <w:szCs w:val="18"/>
        </w:rPr>
        <w:t>Reviewer: 2</w:t>
      </w:r>
      <w:r w:rsidRPr="0004019C">
        <w:rPr>
          <w:rFonts w:ascii="Helvetica" w:hAnsi="Helvetica"/>
          <w:b/>
          <w:bCs/>
          <w:color w:val="000000"/>
          <w:sz w:val="18"/>
          <w:szCs w:val="18"/>
        </w:rPr>
        <w:br/>
      </w:r>
      <w:r w:rsidRPr="0004019C">
        <w:rPr>
          <w:rFonts w:ascii="Helvetica" w:hAnsi="Helvetica"/>
          <w:b/>
          <w:bCs/>
          <w:color w:val="000000"/>
          <w:sz w:val="18"/>
          <w:szCs w:val="18"/>
        </w:rPr>
        <w:br/>
        <w:t>Recommendation: Minor Revision</w:t>
      </w:r>
      <w:r w:rsidRPr="0004019C">
        <w:rPr>
          <w:rFonts w:ascii="Helvetica" w:hAnsi="Helvetica"/>
          <w:b/>
          <w:bCs/>
          <w:color w:val="000000"/>
          <w:sz w:val="18"/>
          <w:szCs w:val="18"/>
        </w:rPr>
        <w:br/>
      </w:r>
      <w:r w:rsidRPr="0004019C">
        <w:rPr>
          <w:rFonts w:ascii="Helvetica" w:hAnsi="Helvetica"/>
          <w:b/>
          <w:bCs/>
          <w:color w:val="000000"/>
          <w:sz w:val="18"/>
          <w:szCs w:val="18"/>
        </w:rPr>
        <w:br/>
        <w:t>Comments:</w:t>
      </w:r>
      <w:r w:rsidRPr="0004019C">
        <w:rPr>
          <w:rFonts w:ascii="Helvetica" w:hAnsi="Helvetica"/>
          <w:b/>
          <w:bCs/>
          <w:color w:val="000000"/>
          <w:sz w:val="18"/>
          <w:szCs w:val="18"/>
        </w:rPr>
        <w:br/>
        <w:t>1. Repeatability Paragraph Conflates Two Models</w:t>
      </w:r>
      <w:r w:rsidRPr="0004019C">
        <w:rPr>
          <w:rFonts w:ascii="Helvetica" w:hAnsi="Helvetica"/>
          <w:b/>
          <w:bCs/>
          <w:color w:val="000000"/>
          <w:sz w:val="18"/>
          <w:szCs w:val="18"/>
        </w:rPr>
        <w:br/>
      </w:r>
      <w:r w:rsidRPr="0004019C">
        <w:rPr>
          <w:rFonts w:ascii="Helvetica" w:hAnsi="Helvetica"/>
          <w:b/>
          <w:bCs/>
          <w:color w:val="000000"/>
          <w:sz w:val="18"/>
          <w:szCs w:val="18"/>
        </w:rPr>
        <w:br/>
        <w:t xml:space="preserve">The repeatability values are now correctly assigned per clutch. However, the paragraph presents variance components from Table S1 (multivariate trade-off model) and </w:t>
      </w:r>
      <w:proofErr w:type="spellStart"/>
      <w:r w:rsidRPr="0004019C">
        <w:rPr>
          <w:rFonts w:ascii="Helvetica" w:hAnsi="Helvetica"/>
          <w:b/>
          <w:bCs/>
          <w:color w:val="000000"/>
          <w:sz w:val="18"/>
          <w:szCs w:val="18"/>
        </w:rPr>
        <w:t>repeatabilities</w:t>
      </w:r>
      <w:proofErr w:type="spellEnd"/>
      <w:r w:rsidRPr="0004019C">
        <w:rPr>
          <w:rFonts w:ascii="Helvetica" w:hAnsi="Helvetica"/>
          <w:b/>
          <w:bCs/>
          <w:color w:val="000000"/>
          <w:sz w:val="18"/>
          <w:szCs w:val="18"/>
        </w:rPr>
        <w:t xml:space="preserve"> from Table S2 (clutch-specific univariate model) in a single sentence that reads as though one derives from the other:</w:t>
      </w:r>
      <w:r w:rsidRPr="0004019C">
        <w:rPr>
          <w:rFonts w:ascii="Helvetica" w:hAnsi="Helvetica"/>
          <w:b/>
          <w:bCs/>
          <w:color w:val="000000"/>
          <w:sz w:val="18"/>
          <w:szCs w:val="18"/>
        </w:rPr>
        <w:br/>
      </w:r>
      <w:r w:rsidRPr="0004019C">
        <w:rPr>
          <w:rFonts w:ascii="Helvetica" w:hAnsi="Helvetica"/>
          <w:b/>
          <w:bCs/>
          <w:color w:val="000000"/>
          <w:sz w:val="18"/>
          <w:szCs w:val="18"/>
        </w:rPr>
        <w:br/>
        <w:t>"Among female variance (SD = 0.082 ... Supplementary Table 1) was substantial relative to residual variance (SD = 0.191 ...), yielding R = 0.78 ... in first broods and R = 0.63 ... in second broods."</w:t>
      </w:r>
      <w:r w:rsidRPr="0004019C">
        <w:rPr>
          <w:rFonts w:ascii="Helvetica" w:hAnsi="Helvetica"/>
          <w:b/>
          <w:bCs/>
          <w:color w:val="000000"/>
          <w:sz w:val="18"/>
          <w:szCs w:val="18"/>
        </w:rPr>
        <w:br/>
      </w:r>
      <w:r w:rsidRPr="0004019C">
        <w:rPr>
          <w:rFonts w:ascii="Helvetica" w:hAnsi="Helvetica"/>
          <w:b/>
          <w:bCs/>
          <w:color w:val="000000"/>
          <w:sz w:val="18"/>
          <w:szCs w:val="18"/>
        </w:rPr>
        <w:br/>
        <w:t xml:space="preserve">The word "yielding" implies the </w:t>
      </w:r>
      <w:proofErr w:type="spellStart"/>
      <w:r w:rsidRPr="0004019C">
        <w:rPr>
          <w:rFonts w:ascii="Helvetica" w:hAnsi="Helvetica"/>
          <w:b/>
          <w:bCs/>
          <w:color w:val="000000"/>
          <w:sz w:val="18"/>
          <w:szCs w:val="18"/>
        </w:rPr>
        <w:t>repeatabilities</w:t>
      </w:r>
      <w:proofErr w:type="spellEnd"/>
      <w:r w:rsidRPr="0004019C">
        <w:rPr>
          <w:rFonts w:ascii="Helvetica" w:hAnsi="Helvetica"/>
          <w:b/>
          <w:bCs/>
          <w:color w:val="000000"/>
          <w:sz w:val="18"/>
          <w:szCs w:val="18"/>
        </w:rPr>
        <w:t xml:space="preserve"> follow from the cited variance components, but they cannot. Table S1 is a multivariate model whose residual SD is partial (conditioned on egg number fixed effects), not the total residual needed for marginal repeatability. The clutch-specific </w:t>
      </w:r>
      <w:proofErr w:type="spellStart"/>
      <w:r w:rsidRPr="0004019C">
        <w:rPr>
          <w:rFonts w:ascii="Helvetica" w:hAnsi="Helvetica"/>
          <w:b/>
          <w:bCs/>
          <w:color w:val="000000"/>
          <w:sz w:val="18"/>
          <w:szCs w:val="18"/>
        </w:rPr>
        <w:t>repeatabilities</w:t>
      </w:r>
      <w:proofErr w:type="spellEnd"/>
      <w:r w:rsidRPr="0004019C">
        <w:rPr>
          <w:rFonts w:ascii="Helvetica" w:hAnsi="Helvetica"/>
          <w:b/>
          <w:bCs/>
          <w:color w:val="000000"/>
          <w:sz w:val="18"/>
          <w:szCs w:val="18"/>
        </w:rPr>
        <w:t xml:space="preserve"> are correctly derived from Table S2. The description "substantial relative to" is also misleading for the cited values, since among-female SD (0.082) is less than half the residual SD (0.191) in Table S1; in Table S2 the among-female SDs (0.855, 0.784) do exceed the residual SDs (0.457, 0.594).</w:t>
      </w:r>
      <w:r w:rsidRPr="0004019C">
        <w:rPr>
          <w:rFonts w:ascii="Helvetica" w:hAnsi="Helvetica"/>
          <w:b/>
          <w:bCs/>
          <w:color w:val="000000"/>
          <w:sz w:val="18"/>
          <w:szCs w:val="18"/>
        </w:rPr>
        <w:br/>
      </w:r>
      <w:r w:rsidRPr="0004019C">
        <w:rPr>
          <w:rFonts w:ascii="Helvetica" w:hAnsi="Helvetica"/>
          <w:b/>
          <w:bCs/>
          <w:color w:val="000000"/>
          <w:sz w:val="18"/>
          <w:szCs w:val="18"/>
        </w:rPr>
        <w:br/>
        <w:t xml:space="preserve">The author may be using Table S1 to convey physical scale (in mm) and Table S2 for standardised </w:t>
      </w:r>
      <w:proofErr w:type="spellStart"/>
      <w:r w:rsidRPr="0004019C">
        <w:rPr>
          <w:rFonts w:ascii="Helvetica" w:hAnsi="Helvetica"/>
          <w:b/>
          <w:bCs/>
          <w:color w:val="000000"/>
          <w:sz w:val="18"/>
          <w:szCs w:val="18"/>
        </w:rPr>
        <w:t>repeatabilities</w:t>
      </w:r>
      <w:proofErr w:type="spellEnd"/>
      <w:r w:rsidRPr="0004019C">
        <w:rPr>
          <w:rFonts w:ascii="Helvetica" w:hAnsi="Helvetica"/>
          <w:b/>
          <w:bCs/>
          <w:color w:val="000000"/>
          <w:sz w:val="18"/>
          <w:szCs w:val="18"/>
        </w:rPr>
        <w:t xml:space="preserve">, which is a reasonable reporting choice. Either cite the Table S2 variance components alongside the </w:t>
      </w:r>
      <w:proofErr w:type="spellStart"/>
      <w:proofErr w:type="gramStart"/>
      <w:r w:rsidRPr="0004019C">
        <w:rPr>
          <w:rFonts w:ascii="Helvetica" w:hAnsi="Helvetica"/>
          <w:b/>
          <w:bCs/>
          <w:color w:val="000000"/>
          <w:sz w:val="18"/>
          <w:szCs w:val="18"/>
        </w:rPr>
        <w:t>repeatabilities</w:t>
      </w:r>
      <w:proofErr w:type="spellEnd"/>
      <w:r w:rsidRPr="0004019C">
        <w:rPr>
          <w:rFonts w:ascii="Helvetica" w:hAnsi="Helvetica"/>
          <w:b/>
          <w:bCs/>
          <w:color w:val="000000"/>
          <w:sz w:val="18"/>
          <w:szCs w:val="18"/>
        </w:rPr>
        <w:t>, or</w:t>
      </w:r>
      <w:proofErr w:type="gramEnd"/>
      <w:r w:rsidRPr="0004019C">
        <w:rPr>
          <w:rFonts w:ascii="Helvetica" w:hAnsi="Helvetica"/>
          <w:b/>
          <w:bCs/>
          <w:color w:val="000000"/>
          <w:sz w:val="18"/>
          <w:szCs w:val="18"/>
        </w:rPr>
        <w:t xml:space="preserve"> split the sentence to make clear that variance magnitudes and </w:t>
      </w:r>
      <w:proofErr w:type="spellStart"/>
      <w:r w:rsidRPr="0004019C">
        <w:rPr>
          <w:rFonts w:ascii="Helvetica" w:hAnsi="Helvetica"/>
          <w:b/>
          <w:bCs/>
          <w:color w:val="000000"/>
          <w:sz w:val="18"/>
          <w:szCs w:val="18"/>
        </w:rPr>
        <w:t>repeatabilities</w:t>
      </w:r>
      <w:proofErr w:type="spellEnd"/>
      <w:r w:rsidRPr="0004019C">
        <w:rPr>
          <w:rFonts w:ascii="Helvetica" w:hAnsi="Helvetica"/>
          <w:b/>
          <w:bCs/>
          <w:color w:val="000000"/>
          <w:sz w:val="18"/>
          <w:szCs w:val="18"/>
        </w:rPr>
        <w:t xml:space="preserve"> come from different models.</w:t>
      </w:r>
    </w:p>
    <w:p w14:paraId="77750698" w14:textId="74F81BB1" w:rsidR="00D70091" w:rsidRPr="0004019C" w:rsidRDefault="0004019C" w:rsidP="0004019C">
      <w:pPr>
        <w:rPr>
          <w:b/>
          <w:bCs/>
        </w:rPr>
      </w:pPr>
      <w:r w:rsidRPr="0004019C">
        <w:rPr>
          <w:rFonts w:ascii="Times New Roman" w:hAnsi="Times New Roman" w:cs="Times New Roman"/>
          <w:color w:val="000000"/>
        </w:rPr>
        <w:t xml:space="preserve">I have revised this paragraph to emphasise that variance magnitudes (Table S1) and clutch-specific </w:t>
      </w:r>
      <w:proofErr w:type="spellStart"/>
      <w:r w:rsidRPr="0004019C">
        <w:rPr>
          <w:rFonts w:ascii="Times New Roman" w:hAnsi="Times New Roman" w:cs="Times New Roman"/>
          <w:color w:val="000000"/>
        </w:rPr>
        <w:t>repeatabilities</w:t>
      </w:r>
      <w:proofErr w:type="spellEnd"/>
      <w:r w:rsidRPr="0004019C">
        <w:rPr>
          <w:rFonts w:ascii="Times New Roman" w:hAnsi="Times New Roman" w:cs="Times New Roman"/>
          <w:color w:val="000000"/>
        </w:rPr>
        <w:t xml:space="preserve"> (Table S2) are derived from different models.</w:t>
      </w:r>
      <w:r w:rsidRPr="0004019C">
        <w:rPr>
          <w:rFonts w:ascii="Times New Roman" w:hAnsi="Times New Roman" w:cs="Times New Roman"/>
          <w:color w:val="000000"/>
        </w:rPr>
        <w:br/>
      </w:r>
      <w:r w:rsidRPr="0004019C">
        <w:rPr>
          <w:rFonts w:ascii="Helvetica" w:hAnsi="Helvetica"/>
          <w:color w:val="000000"/>
          <w:sz w:val="18"/>
          <w:szCs w:val="18"/>
        </w:rPr>
        <w:br/>
      </w:r>
      <w:r w:rsidRPr="0004019C">
        <w:rPr>
          <w:rFonts w:ascii="Helvetica" w:hAnsi="Helvetica"/>
          <w:color w:val="000000"/>
          <w:sz w:val="18"/>
          <w:szCs w:val="18"/>
        </w:rPr>
        <w:br/>
      </w:r>
      <w:r w:rsidRPr="0004019C">
        <w:rPr>
          <w:rFonts w:ascii="Helvetica" w:hAnsi="Helvetica"/>
          <w:b/>
          <w:bCs/>
          <w:color w:val="000000"/>
          <w:sz w:val="18"/>
          <w:szCs w:val="18"/>
        </w:rPr>
        <w:t>2. OSF Repository Empty</w:t>
      </w:r>
      <w:r w:rsidRPr="0004019C">
        <w:rPr>
          <w:rFonts w:ascii="Helvetica" w:hAnsi="Helvetica"/>
          <w:b/>
          <w:bCs/>
          <w:color w:val="000000"/>
          <w:sz w:val="18"/>
          <w:szCs w:val="18"/>
        </w:rPr>
        <w:br/>
      </w:r>
      <w:r w:rsidRPr="0004019C">
        <w:rPr>
          <w:rFonts w:ascii="Helvetica" w:hAnsi="Helvetica"/>
          <w:b/>
          <w:bCs/>
          <w:color w:val="000000"/>
          <w:sz w:val="18"/>
          <w:szCs w:val="18"/>
        </w:rPr>
        <w:br/>
        <w:t>The OSF project (10.17605/OSF.IO/KWCS8) remains public but contains zero files as of 5 April 2026. The project description still references the original title. Data deposition before acceptance is strongly recommended.</w:t>
      </w:r>
    </w:p>
    <w:p w14:paraId="7A649257" w14:textId="7E79F3A6" w:rsidR="0004019C" w:rsidRPr="0004019C" w:rsidRDefault="0004019C" w:rsidP="0004019C">
      <w:pPr>
        <w:rPr>
          <w:rFonts w:ascii="Times New Roman" w:hAnsi="Times New Roman" w:cs="Times New Roman"/>
        </w:rPr>
      </w:pPr>
      <w:r w:rsidRPr="0004019C">
        <w:rPr>
          <w:rFonts w:ascii="Times New Roman" w:hAnsi="Times New Roman" w:cs="Times New Roman"/>
          <w:color w:val="000000"/>
        </w:rPr>
        <w:t xml:space="preserve">This has </w:t>
      </w:r>
      <w:r w:rsidR="00581F28">
        <w:rPr>
          <w:rFonts w:ascii="Times New Roman" w:hAnsi="Times New Roman" w:cs="Times New Roman"/>
          <w:color w:val="000000"/>
        </w:rPr>
        <w:t xml:space="preserve">(finally) </w:t>
      </w:r>
      <w:r w:rsidRPr="0004019C">
        <w:rPr>
          <w:rFonts w:ascii="Times New Roman" w:hAnsi="Times New Roman" w:cs="Times New Roman"/>
          <w:color w:val="000000"/>
        </w:rPr>
        <w:t>been corrected.</w:t>
      </w:r>
    </w:p>
    <w:sectPr w:rsidR="0004019C" w:rsidRPr="0004019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E22A51"/>
    <w:multiLevelType w:val="hybridMultilevel"/>
    <w:tmpl w:val="62887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541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19C"/>
    <w:rsid w:val="000154FF"/>
    <w:rsid w:val="00020A07"/>
    <w:rsid w:val="000236A0"/>
    <w:rsid w:val="00031803"/>
    <w:rsid w:val="00033527"/>
    <w:rsid w:val="0004019C"/>
    <w:rsid w:val="000412C5"/>
    <w:rsid w:val="000431AA"/>
    <w:rsid w:val="00063E79"/>
    <w:rsid w:val="0007702C"/>
    <w:rsid w:val="00077BE8"/>
    <w:rsid w:val="00080159"/>
    <w:rsid w:val="0008696E"/>
    <w:rsid w:val="00091422"/>
    <w:rsid w:val="00097316"/>
    <w:rsid w:val="000A040B"/>
    <w:rsid w:val="000B2696"/>
    <w:rsid w:val="000C4465"/>
    <w:rsid w:val="000D316B"/>
    <w:rsid w:val="000D5DCE"/>
    <w:rsid w:val="000F038C"/>
    <w:rsid w:val="000F5FF6"/>
    <w:rsid w:val="00101949"/>
    <w:rsid w:val="00123595"/>
    <w:rsid w:val="00124A98"/>
    <w:rsid w:val="00127CAB"/>
    <w:rsid w:val="001314B7"/>
    <w:rsid w:val="0014036D"/>
    <w:rsid w:val="00151DBB"/>
    <w:rsid w:val="00163549"/>
    <w:rsid w:val="001647EC"/>
    <w:rsid w:val="0017020E"/>
    <w:rsid w:val="00170BAE"/>
    <w:rsid w:val="00170E70"/>
    <w:rsid w:val="00182806"/>
    <w:rsid w:val="00195A46"/>
    <w:rsid w:val="001B0B86"/>
    <w:rsid w:val="001D6B38"/>
    <w:rsid w:val="00200352"/>
    <w:rsid w:val="0023365A"/>
    <w:rsid w:val="002513A0"/>
    <w:rsid w:val="00276CCC"/>
    <w:rsid w:val="00286D11"/>
    <w:rsid w:val="002B2F87"/>
    <w:rsid w:val="002B4290"/>
    <w:rsid w:val="002D039D"/>
    <w:rsid w:val="002E1AAB"/>
    <w:rsid w:val="002F4E5E"/>
    <w:rsid w:val="002F703C"/>
    <w:rsid w:val="003223B1"/>
    <w:rsid w:val="00325029"/>
    <w:rsid w:val="00342C9D"/>
    <w:rsid w:val="00355A47"/>
    <w:rsid w:val="00376CD5"/>
    <w:rsid w:val="003C761F"/>
    <w:rsid w:val="003E7B96"/>
    <w:rsid w:val="003F47EF"/>
    <w:rsid w:val="0041081E"/>
    <w:rsid w:val="004157E4"/>
    <w:rsid w:val="004266F9"/>
    <w:rsid w:val="0043015A"/>
    <w:rsid w:val="004736DE"/>
    <w:rsid w:val="00481788"/>
    <w:rsid w:val="00485B4F"/>
    <w:rsid w:val="00490BCB"/>
    <w:rsid w:val="0049561B"/>
    <w:rsid w:val="004B6776"/>
    <w:rsid w:val="004C4956"/>
    <w:rsid w:val="004D10B0"/>
    <w:rsid w:val="004D2142"/>
    <w:rsid w:val="004D2E52"/>
    <w:rsid w:val="0050553F"/>
    <w:rsid w:val="0052214B"/>
    <w:rsid w:val="00527F3D"/>
    <w:rsid w:val="0053404B"/>
    <w:rsid w:val="0054259B"/>
    <w:rsid w:val="00553712"/>
    <w:rsid w:val="00581F28"/>
    <w:rsid w:val="00591978"/>
    <w:rsid w:val="005941A3"/>
    <w:rsid w:val="005A10F5"/>
    <w:rsid w:val="005B5B8B"/>
    <w:rsid w:val="005C53ED"/>
    <w:rsid w:val="006016EA"/>
    <w:rsid w:val="00604D0F"/>
    <w:rsid w:val="00623EE8"/>
    <w:rsid w:val="006531D6"/>
    <w:rsid w:val="00667322"/>
    <w:rsid w:val="006B4C28"/>
    <w:rsid w:val="006B785E"/>
    <w:rsid w:val="006D0FF5"/>
    <w:rsid w:val="006F5DB8"/>
    <w:rsid w:val="006F7249"/>
    <w:rsid w:val="0070131D"/>
    <w:rsid w:val="00702DD1"/>
    <w:rsid w:val="00733031"/>
    <w:rsid w:val="007357C6"/>
    <w:rsid w:val="00735B1C"/>
    <w:rsid w:val="00735B87"/>
    <w:rsid w:val="00750B15"/>
    <w:rsid w:val="00750F5F"/>
    <w:rsid w:val="007620E0"/>
    <w:rsid w:val="00771B4E"/>
    <w:rsid w:val="00790553"/>
    <w:rsid w:val="007B28F2"/>
    <w:rsid w:val="007C0ED9"/>
    <w:rsid w:val="007C7D66"/>
    <w:rsid w:val="007E4E1B"/>
    <w:rsid w:val="007E530F"/>
    <w:rsid w:val="007F31E9"/>
    <w:rsid w:val="00865416"/>
    <w:rsid w:val="008A554C"/>
    <w:rsid w:val="008B0F01"/>
    <w:rsid w:val="008B619A"/>
    <w:rsid w:val="008C352C"/>
    <w:rsid w:val="008D4999"/>
    <w:rsid w:val="008E1791"/>
    <w:rsid w:val="008E7DE2"/>
    <w:rsid w:val="008F3E1A"/>
    <w:rsid w:val="00912F90"/>
    <w:rsid w:val="0093062B"/>
    <w:rsid w:val="009510C9"/>
    <w:rsid w:val="009546DE"/>
    <w:rsid w:val="00960D2A"/>
    <w:rsid w:val="009917C8"/>
    <w:rsid w:val="009962FC"/>
    <w:rsid w:val="009C5531"/>
    <w:rsid w:val="009C729B"/>
    <w:rsid w:val="009D4EA5"/>
    <w:rsid w:val="009E48F6"/>
    <w:rsid w:val="009E5C1A"/>
    <w:rsid w:val="009E69DC"/>
    <w:rsid w:val="009F1E54"/>
    <w:rsid w:val="00A107EA"/>
    <w:rsid w:val="00A34BD7"/>
    <w:rsid w:val="00A41864"/>
    <w:rsid w:val="00A4671C"/>
    <w:rsid w:val="00A510F8"/>
    <w:rsid w:val="00A54752"/>
    <w:rsid w:val="00A54F96"/>
    <w:rsid w:val="00A55693"/>
    <w:rsid w:val="00A716A3"/>
    <w:rsid w:val="00A72555"/>
    <w:rsid w:val="00A76558"/>
    <w:rsid w:val="00A85FF0"/>
    <w:rsid w:val="00A93B66"/>
    <w:rsid w:val="00A97EF8"/>
    <w:rsid w:val="00AC0087"/>
    <w:rsid w:val="00B32891"/>
    <w:rsid w:val="00B90B8B"/>
    <w:rsid w:val="00B9465F"/>
    <w:rsid w:val="00B9675F"/>
    <w:rsid w:val="00BA0D41"/>
    <w:rsid w:val="00BB2687"/>
    <w:rsid w:val="00BC4482"/>
    <w:rsid w:val="00BF0EDD"/>
    <w:rsid w:val="00BF3F2F"/>
    <w:rsid w:val="00C013DC"/>
    <w:rsid w:val="00C1736D"/>
    <w:rsid w:val="00C277E1"/>
    <w:rsid w:val="00C36051"/>
    <w:rsid w:val="00C3731D"/>
    <w:rsid w:val="00C450AB"/>
    <w:rsid w:val="00C45129"/>
    <w:rsid w:val="00C45F16"/>
    <w:rsid w:val="00C473CC"/>
    <w:rsid w:val="00C61269"/>
    <w:rsid w:val="00C63E87"/>
    <w:rsid w:val="00CB4EEF"/>
    <w:rsid w:val="00CC6A1C"/>
    <w:rsid w:val="00CD33B5"/>
    <w:rsid w:val="00CD464A"/>
    <w:rsid w:val="00CD4B2D"/>
    <w:rsid w:val="00CD608D"/>
    <w:rsid w:val="00CE0BF2"/>
    <w:rsid w:val="00CE727F"/>
    <w:rsid w:val="00D12625"/>
    <w:rsid w:val="00D33911"/>
    <w:rsid w:val="00D40AAC"/>
    <w:rsid w:val="00D5044F"/>
    <w:rsid w:val="00D50926"/>
    <w:rsid w:val="00D602C5"/>
    <w:rsid w:val="00D605CC"/>
    <w:rsid w:val="00D6751B"/>
    <w:rsid w:val="00D70091"/>
    <w:rsid w:val="00D713D2"/>
    <w:rsid w:val="00D7552B"/>
    <w:rsid w:val="00DD3870"/>
    <w:rsid w:val="00DD4F4A"/>
    <w:rsid w:val="00DF75F8"/>
    <w:rsid w:val="00E05E63"/>
    <w:rsid w:val="00E07620"/>
    <w:rsid w:val="00E11E0A"/>
    <w:rsid w:val="00E13078"/>
    <w:rsid w:val="00E22DC5"/>
    <w:rsid w:val="00E250A4"/>
    <w:rsid w:val="00E27167"/>
    <w:rsid w:val="00E325B1"/>
    <w:rsid w:val="00E36B3E"/>
    <w:rsid w:val="00E44547"/>
    <w:rsid w:val="00E47DCE"/>
    <w:rsid w:val="00E57635"/>
    <w:rsid w:val="00E57FDB"/>
    <w:rsid w:val="00E70812"/>
    <w:rsid w:val="00E76BA9"/>
    <w:rsid w:val="00E91BCB"/>
    <w:rsid w:val="00EB1EF4"/>
    <w:rsid w:val="00EB36DB"/>
    <w:rsid w:val="00EC057B"/>
    <w:rsid w:val="00EE3C8D"/>
    <w:rsid w:val="00EE6D01"/>
    <w:rsid w:val="00EF091D"/>
    <w:rsid w:val="00F150B9"/>
    <w:rsid w:val="00F15DCA"/>
    <w:rsid w:val="00F17D0B"/>
    <w:rsid w:val="00F26134"/>
    <w:rsid w:val="00F2690E"/>
    <w:rsid w:val="00F3226E"/>
    <w:rsid w:val="00F41844"/>
    <w:rsid w:val="00F55D32"/>
    <w:rsid w:val="00F65050"/>
    <w:rsid w:val="00F77BED"/>
    <w:rsid w:val="00F81448"/>
    <w:rsid w:val="00F85804"/>
    <w:rsid w:val="00F9403C"/>
    <w:rsid w:val="00FB4CEE"/>
    <w:rsid w:val="00FC0749"/>
    <w:rsid w:val="00FC2DBE"/>
    <w:rsid w:val="00FD2917"/>
    <w:rsid w:val="00FE3444"/>
    <w:rsid w:val="00FE511F"/>
    <w:rsid w:val="00FE66B6"/>
    <w:rsid w:val="00FF0D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E95BEB8"/>
  <w15:chartTrackingRefBased/>
  <w15:docId w15:val="{13BD3109-05F5-0142-909E-AFEDF865F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01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01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01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01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01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01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1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1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1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1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01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01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01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01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01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1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1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19C"/>
    <w:rPr>
      <w:rFonts w:eastAsiaTheme="majorEastAsia" w:cstheme="majorBidi"/>
      <w:color w:val="272727" w:themeColor="text1" w:themeTint="D8"/>
    </w:rPr>
  </w:style>
  <w:style w:type="paragraph" w:styleId="Title">
    <w:name w:val="Title"/>
    <w:basedOn w:val="Normal"/>
    <w:next w:val="Normal"/>
    <w:link w:val="TitleChar"/>
    <w:uiPriority w:val="10"/>
    <w:qFormat/>
    <w:rsid w:val="000401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1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1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1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19C"/>
    <w:pPr>
      <w:spacing w:before="160"/>
      <w:jc w:val="center"/>
    </w:pPr>
    <w:rPr>
      <w:i/>
      <w:iCs/>
      <w:color w:val="404040" w:themeColor="text1" w:themeTint="BF"/>
    </w:rPr>
  </w:style>
  <w:style w:type="character" w:customStyle="1" w:styleId="QuoteChar">
    <w:name w:val="Quote Char"/>
    <w:basedOn w:val="DefaultParagraphFont"/>
    <w:link w:val="Quote"/>
    <w:uiPriority w:val="29"/>
    <w:rsid w:val="0004019C"/>
    <w:rPr>
      <w:i/>
      <w:iCs/>
      <w:color w:val="404040" w:themeColor="text1" w:themeTint="BF"/>
    </w:rPr>
  </w:style>
  <w:style w:type="paragraph" w:styleId="ListParagraph">
    <w:name w:val="List Paragraph"/>
    <w:basedOn w:val="Normal"/>
    <w:uiPriority w:val="34"/>
    <w:qFormat/>
    <w:rsid w:val="0004019C"/>
    <w:pPr>
      <w:ind w:left="720"/>
      <w:contextualSpacing/>
    </w:pPr>
  </w:style>
  <w:style w:type="character" w:styleId="IntenseEmphasis">
    <w:name w:val="Intense Emphasis"/>
    <w:basedOn w:val="DefaultParagraphFont"/>
    <w:uiPriority w:val="21"/>
    <w:qFormat/>
    <w:rsid w:val="0004019C"/>
    <w:rPr>
      <w:i/>
      <w:iCs/>
      <w:color w:val="0F4761" w:themeColor="accent1" w:themeShade="BF"/>
    </w:rPr>
  </w:style>
  <w:style w:type="paragraph" w:styleId="IntenseQuote">
    <w:name w:val="Intense Quote"/>
    <w:basedOn w:val="Normal"/>
    <w:next w:val="Normal"/>
    <w:link w:val="IntenseQuoteChar"/>
    <w:uiPriority w:val="30"/>
    <w:qFormat/>
    <w:rsid w:val="000401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019C"/>
    <w:rPr>
      <w:i/>
      <w:iCs/>
      <w:color w:val="0F4761" w:themeColor="accent1" w:themeShade="BF"/>
    </w:rPr>
  </w:style>
  <w:style w:type="character" w:styleId="IntenseReference">
    <w:name w:val="Intense Reference"/>
    <w:basedOn w:val="DefaultParagraphFont"/>
    <w:uiPriority w:val="32"/>
    <w:qFormat/>
    <w:rsid w:val="0004019C"/>
    <w:rPr>
      <w:b/>
      <w:bCs/>
      <w:smallCaps/>
      <w:color w:val="0F4761" w:themeColor="accent1" w:themeShade="BF"/>
      <w:spacing w:val="5"/>
    </w:rPr>
  </w:style>
  <w:style w:type="paragraph" w:styleId="NormalWeb">
    <w:name w:val="Normal (Web)"/>
    <w:basedOn w:val="Normal"/>
    <w:uiPriority w:val="99"/>
    <w:unhideWhenUsed/>
    <w:rsid w:val="0004019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1227</Words>
  <Characters>7488</Characters>
  <Application>Microsoft Office Word</Application>
  <DocSecurity>0</DocSecurity>
  <Lines>108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Clint Dale</dc:creator>
  <cp:keywords/>
  <dc:description/>
  <cp:lastModifiedBy>Kelly, Clint Dale</cp:lastModifiedBy>
  <cp:revision>2</cp:revision>
  <dcterms:created xsi:type="dcterms:W3CDTF">2026-04-06T16:52:00Z</dcterms:created>
  <dcterms:modified xsi:type="dcterms:W3CDTF">2026-04-06T17:32:00Z</dcterms:modified>
</cp:coreProperties>
</file>