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27.jpg" ContentType="image/jpeg"/>
  <Override PartName="/word/media/rId131.jpg" ContentType="image/jpeg"/>
  <Override PartName="/word/media/rId135.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describe how trait size covaries with body size and are widely used to investigate the evolution of exaggerated morphology. Although allometric relationships are often treated as stable descriptors of trait architecture, they may vary across biological levels and developmental environments. We quantified weapon allometries of the forceps in the European earwig (</w:t>
      </w:r>
      <w:r>
        <w:rPr>
          <w:i/>
          <w:iCs/>
        </w:rPr>
        <w:t xml:space="preserve">Forficula auricularia</w:t>
      </w:r>
      <w:r>
        <w:t xml:space="preserve">) using a split-brood experiment that manipulated developmental diet and social density. We analysed females, brachylabic males, and macrolabic males as separate phenotypic groups within a hierarchical Bayesian framework that allowed scaling relationships to vary among groups, environments, and maternal families. Forceps length increased with body size in all phenotypes, but most scaling exponents were less than one, indicating predominantly hypoallometric relationships. Females and brachylabic males exhibited remarkably similar allometric slopes across developmental environments. By contrast, macrolabic males represented the principal source of divergence, exhibiting steeper scaling relationships under some conditions and the only evidence of hyperallometry. Environmental effects on scaling exponents were generally weak and largely restricted to macrolabic males reared under poor diet, where sample sizes were limited. Among-family variation in allometric slopes and intercepts was modest, and covariance between these parameters was weak and uncertain. These results indicate that divergence in weapon allometry is concentrated within the exaggerated male morph rather than between the sexes broadly, highlighting how alternative reproductive phenotypes can structure the evolution of trait exaggeration.</w:t>
      </w:r>
    </w:p>
    <w:p>
      <w:r>
        <w:br w:type="page"/>
      </w:r>
    </w:p>
    <w:bookmarkEnd w:id="21"/>
    <w:bookmarkStart w:id="22" w:name="introduction"/>
    <w:p>
      <w:pPr>
        <w:pStyle w:val="Heading1"/>
      </w:pPr>
      <w:r>
        <w:t xml:space="preserve">Introduction</w:t>
      </w:r>
    </w:p>
    <w:p>
      <w:pPr>
        <w:pStyle w:val="FirstParagraph"/>
      </w:pPr>
      <w:r>
        <w:t xml:space="preserve">Static allometry describes how trait size covaries with body size among individuals at the same developmental stage and provides a central framework for understanding the evolution of exaggerated morphology. Sexually selected weapons often exhibit positive allometry, such that larger individuals tend to express disproportionately larger traits</w:t>
      </w:r>
      <w:r>
        <w:t xml:space="preserve"> </w:t>
      </w:r>
      <w:r>
        <w:t xml:space="preserve">(Kodric-Brown et al. 2006; Bonduriansky 2007a; Voje 2016)</w:t>
      </w:r>
      <w:r>
        <w:t xml:space="preserve">. However, hyperallometry is not universal. When traits serve both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scaling relationships reflect how developmental processes, functional performance, and selection interact to generate patterns of trait variation.</w:t>
      </w:r>
    </w:p>
    <w:p>
      <w:pPr>
        <w:pStyle w:val="BodyText"/>
      </w:pPr>
      <w:r>
        <w:t xml:space="preserve">Static allometry is typically described by a linear relationship between log-transformed trait size and body size. In this framework, the slope (scaling exponent) describes the strength of covariation between trait size and body size and therefore the degree of size-dependent exaggeration</w:t>
      </w:r>
      <w:r>
        <w:t xml:space="preserve"> </w:t>
      </w:r>
      <w:r>
        <w:t xml:space="preserve">(Pélabon et al. 2014; Voje 2016)</w:t>
      </w:r>
      <w:r>
        <w:t xml:space="preserve">. Differences in scaling exponents among groups indicate that trait exaggeration changes with body size, whereas similar slopes imply a shared relationship between trait size and body size despite differences in average trait expression. Because scaling exponents link developmental variation in body size to variation in trait expression, they provide a powerful means of evaluating how exaggerated traits evolve within and among populations</w:t>
      </w:r>
      <w:r>
        <w:t xml:space="preserve"> </w:t>
      </w:r>
      <w:r>
        <w:t xml:space="preserve">(Bonduriansky 2007a; Shingleton and Frankino 2013)</w:t>
      </w:r>
      <w:r>
        <w:t xml:space="preserve">.</w:t>
      </w:r>
    </w:p>
    <w:p>
      <w:pPr>
        <w:pStyle w:val="BodyText"/>
      </w:pPr>
      <w:r>
        <w:t xml:space="preserve">Sexual dimorphism is often viewed as the evolutionary divergence of males and females from a shared developmental architecture. However, dimorphism can arise through multiple pathways. Males and females may differ in average trait expression while retaining similar allometric relationships, or divergence may occur through changes in how trait size scales with body size. Recent evidence from the maritime earwig</w:t>
      </w:r>
      <w:r>
        <w:t xml:space="preserve"> </w:t>
      </w:r>
      <w:r>
        <w:rPr>
          <w:i/>
          <w:iCs/>
        </w:rPr>
        <w:t xml:space="preserve">Anisolabis maritima</w:t>
      </w:r>
      <w:r>
        <w:t xml:space="preserve"> </w:t>
      </w:r>
      <w:r>
        <w:t xml:space="preserve">demonstrates that females, like males, can exhibit positively allometric forceps, highlighting that weapon exaggeration is not necessarily restricted to males</w:t>
      </w:r>
      <w:r>
        <w:t xml:space="preserve"> </w:t>
      </w:r>
      <w:r>
        <w:t xml:space="preserve">(Matsuzawa and Konuma 2025)</w:t>
      </w:r>
      <w:r>
        <w:t xml:space="preserve">. Species expressing alternative male phenotypes provide an opportunity to examine these processes in greater detail because males themselves are partitioned into discrete reproductive forms. In such systems, one male morph may resemble females more closely than other males, raising the possibility that sexual dimorphism is concentrated within a subset of the male population rather than distributed uniformly across all males. Understanding whether alternative male phenotypes differ from females in scaling relationships therefore offers insight into how sexual dimorphism and trait exaggeration evolve from shared developmental programs.</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reproductive tactics</w:t>
      </w:r>
      <w:r>
        <w:t xml:space="preserve"> </w:t>
      </w:r>
      <w:r>
        <w:t xml:space="preserve">(Gross 1996; Shuster and Wade 2003; Oliveira et al. 2008)</w:t>
      </w:r>
      <w:r>
        <w:t xml:space="preserve">. Because morphs share much of their genome and developmental environment, differences in scaling relationships can reveal how exaggeration evolves within a single species. Although alternative male phenotypes have been documented in many taxa, relatively few studies have quantified morph-specific static allometries, and even fewer have examined how developmental environments influence scaling relationships among morphs</w:t>
      </w:r>
      <w:r>
        <w:t xml:space="preserve"> </w:t>
      </w:r>
      <w:r>
        <w:t xml:space="preserve">(Kochensparger et al. 2024; Kelly 2026)</w:t>
      </w:r>
      <w:r>
        <w:t xml:space="preserve">.</w:t>
      </w:r>
    </w:p>
    <w:p>
      <w:pPr>
        <w:pStyle w:val="BodyText"/>
      </w:pPr>
      <w:r>
        <w:t xml:space="preserve">Environmental conditions can influence both body size and trait expression and may therefore alter static allometries</w:t>
      </w:r>
      <w:r>
        <w:t xml:space="preserve"> </w:t>
      </w:r>
      <w:r>
        <w:t xml:space="preserve">(Emlen 1997; Frankino et al. 2005; Shingleton et al. 2007)</w:t>
      </w:r>
      <w:r>
        <w:t xml:space="preserve">. Nutritional stress, for example, can reduce investment in sexually selected structures, whereas social conditions such as rearing density may modify developmental trajectories through competition or social interactions. Environmental effects on scaling exponents would indicate plasticity in the relationship between trait size and body size, whereas similar scaling exponents across environments would imply canalization of allometric relationships</w:t>
      </w:r>
      <w:r>
        <w:t xml:space="preserve"> </w:t>
      </w:r>
      <w:r>
        <w:t xml:space="preserve">(Frankino et al. 2005; Shingleton et al. 2007; Nijhout and German 2012)</w:t>
      </w:r>
      <w:r>
        <w:t xml:space="preserve">. Determining whether developmental environments modify scaling relationships is therefore important for understanding the extent to which trait exaggeration is environmentally sensitive. Complementary structural modelling of the same study system demonstrates that developmental environments influence forceps expression both indirectly through body size and directly through trait-specific developmental pathways, particularly in males</w:t>
      </w:r>
      <w:r>
        <w:t xml:space="preserve"> </w:t>
      </w:r>
      <w:r>
        <w:t xml:space="preserve">(Ozkan and Kelly submitted)</w:t>
      </w:r>
      <w:r>
        <w:t xml:space="preserve">.</w:t>
      </w:r>
    </w:p>
    <w:p>
      <w:pPr>
        <w:pStyle w:val="BodyText"/>
      </w:pPr>
      <w:r>
        <w:t xml:space="preserve">Beyond sex, morph, and environment, variation among maternal families can provide insight into the developmental and evolutionary structure of allometry. Families may differ not only in average trait expression but also in the strength of the relationship between trait size and body size. Such variation could arise from genetic differences, maternal effects, or shared developmental conditions. Quantifying among-family variation in allometric slopes therefore offers a means of assessing whether scaling relationships themselves vary among related individuals</w:t>
      </w:r>
      <w:r>
        <w:t xml:space="preserve"> </w:t>
      </w:r>
      <w:r>
        <w:t xml:space="preserve">(Lande 1980; Hansen and Houle 2008; Klingenberg 2008; Pélabon et al. 2014)</w:t>
      </w:r>
      <w:r>
        <w:t xml:space="preserve">.</w:t>
      </w:r>
    </w:p>
    <w:p>
      <w:pPr>
        <w:pStyle w:val="BodyText"/>
      </w:pPr>
      <w:r>
        <w:t xml:space="preserve">The European earwig (</w:t>
      </w:r>
      <w:r>
        <w:rPr>
          <w:i/>
          <w:iCs/>
        </w:rPr>
        <w:t xml:space="preserve">Forficula auricularia</w:t>
      </w:r>
      <w:r>
        <w:t xml:space="preserve">) provides a powerful system for examining how sexual dimorphism and alternative male phenotypes are structured through allometry. Males express two discrete forceps morphs, commonly referred to as brachylabic and macrolabic males, which differ markedly in weapon size and shape</w:t>
      </w:r>
      <w:r>
        <w:t xml:space="preserve"> </w:t>
      </w:r>
      <w:r>
        <w:t xml:space="preserve">(Simmons and Tomkins 1996; Tomkins et al. 2005)</w:t>
      </w:r>
      <w:r>
        <w:t xml:space="preserve"> </w:t>
      </w:r>
      <w:r>
        <w:t xml:space="preserve">(</w:t>
      </w:r>
      <w:hyperlink w:anchor="fig-one">
        <w:r>
          <w:rPr>
            <w:rStyle w:val="Hyperlink"/>
          </w:rPr>
          <w:t xml:space="preserve">Figure 1</w:t>
        </w:r>
      </w:hyperlink>
      <w:r>
        <w:t xml:space="preserve">). Forceps function both as sexual weapons during male–male interactions and as defensive structures, making them traits with dual functions</w:t>
      </w:r>
      <w:r>
        <w:t xml:space="preserve"> </w:t>
      </w:r>
      <w:r>
        <w:t xml:space="preserve">(Kamimura 2014; Meunier 2024)</w:t>
      </w:r>
      <w:r>
        <w:t xml:space="preserve">. Because these morphs coexist within the same population, earwigs provide an opportunity to determine whether males share a common scaling relationship that differs from females, or whether divergence is concentrated within a particular male morph. Previous studies have documented morph-specific differences in forceps exaggeration, suggesting that alternative male phenotypes may represent distinct allometric trajectories rather than simple variants of a single male form</w:t>
      </w:r>
      <w:r>
        <w:t xml:space="preserve"> </w:t>
      </w:r>
      <w:r>
        <w:t xml:space="preserve">(Simmons and Tomkins 1996; Tomkins et al. 2005)</w:t>
      </w:r>
      <w:r>
        <w:t xml:space="preserve">. Moreover, recent work on another earwig species revealed positive allometry in female forceps, raising the possibility that sex differences in forceps scaling may be more evolutionarily labile than previously appreciated</w:t>
      </w:r>
      <w:r>
        <w:t xml:space="preserve"> </w:t>
      </w:r>
      <w:r>
        <w:t xml:space="preserve">(Matsuzawa and Konuma 2025)</w:t>
      </w:r>
      <w:r>
        <w:t xml:space="preserve">.</w:t>
      </w:r>
    </w:p>
    <w:p>
      <w:pPr>
        <w:pStyle w:val="BodyText"/>
      </w:pPr>
      <w:r>
        <w:t xml:space="preserve">Here, we quantify static allometries of forceps length in female, brachylabic male, and macrolabic male</w:t>
      </w:r>
      <w:r>
        <w:t xml:space="preserve"> </w:t>
      </w:r>
      <w:r>
        <w:rPr>
          <w:i/>
          <w:iCs/>
        </w:rPr>
        <w:t xml:space="preserve">F. auricularia</w:t>
      </w:r>
      <w:r>
        <w:t xml:space="preserve"> </w:t>
      </w:r>
      <w:r>
        <w:t xml:space="preserve">reared under experimentally manipulated diet and density conditions. We first test whether the three phenotypic groups differ in allometric scaling relationships and whether any divergence is consistent across developmental environments. We then assess whether developmental conditions modify scaling exponents within each group and whether allometric relationships vary among maternal families. By integrating sex, morph, environment, and family effects within a hierarchical framework, we evaluate whether weapon allometry is broadly conserved across phenotypic groups or whether divergence is concentrated within particular male morphs.</w:t>
      </w:r>
    </w:p>
    <w:bookmarkEnd w:id="22"/>
    <w:bookmarkStart w:id="26"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 sensu lato</w:t>
      </w:r>
      <w:r>
        <w:t xml:space="preserve">) were collected by hand at night from vegetation in Parc Outremont (Montréal, Québec, Canada) during September and October 2024. The European earwig is now recognized as a complex of closely related lineages that cannot always be distinguished reliably using external morphology alone</w:t>
      </w:r>
      <w:r>
        <w:t xml:space="preserve"> </w:t>
      </w:r>
      <w:r>
        <w:t xml:space="preserve">(González-Miguéns et al. 2020)</w:t>
      </w:r>
      <w:r>
        <w:t xml:space="preserve">. Because individuals were not genetically assigned to lineage, we refer to them as</w:t>
      </w:r>
      <w:r>
        <w:t xml:space="preserve"> </w:t>
      </w:r>
      <w:r>
        <w:rPr>
          <w:i/>
          <w:iCs/>
        </w:rPr>
        <w:t xml:space="preserve">F. auricularia sensu lato</w:t>
      </w:r>
      <w:r>
        <w:t xml:space="preserve"> </w:t>
      </w:r>
      <w:r>
        <w:t xml:space="preserve">throughout. This taxonomic uncertainty should not affect treatment comparisons in the present study because all individuals originated from the same local population and were randomly assigned to experimental treatments, although caution may be warranted when comparing results among studies conducted on genetically characterized lineages.</w:t>
      </w:r>
    </w:p>
    <w:p>
      <w:pPr>
        <w:pStyle w:val="BodyText"/>
      </w:pPr>
      <w:r>
        <w:t xml:space="preserve">Females (n = 115) were transported to the laboratory at the Université du Québec à Montréal and housed individually in 90-mm Petri dishes containing moist sand. Each dish was supplied with a cotton-plugged water tube and TetraMin Tropical Flakes (United Pet Group, Germany), and females were assigned unique identification codes. Earwigs were maintained in darkness at 10°C (Percival Scientific, Perry, IA, USA) to simulate overwintering conditions. Dishes were checked daily for egg laying, and food and water were replenished as required. Following oviposition (approximately early December), food and water were removed and dishes were inspected weekly. Beginning in January 2025, dishes were checked daily for hatching. Hatching occurred between 13 and 29 January 2025, and all 115 females successfully produced offspring.</w:t>
      </w:r>
    </w:p>
    <w:p>
      <w:pPr>
        <w:pStyle w:val="BodyText"/>
      </w:pPr>
      <w:r>
        <w:t xml:space="preserve">For two weeks following hatching, families were provided with food and water ad libitum. This period allowed nymphs to complete an early moult and attain a size suitable for manual transfer to experimental dishes. To manipulate developmental conditions, we varied both nutritional quality and social density. Diet treatment consisted of either a good-quality diet (100% TetraMin Tropical Flakes) or a poor-quality diet (75% TetraMin Tropical Flakes and 25% non-digestible α-cellulose). Density treatment consisted of one, four, or eight individuals per dish. Offspring from each family were randomly assigned among treatment combinations using a split-brood design to minimize confounding between maternal background and environmental treatment. Experimental dishes were maintained at 20°C and contained a water tube, treatment-specific food, and a refuge constructed from four sections of paper straw. In total, 1,265 dishes were established. Mothers were euthanized by freezing at −20°C after offspring had been assigned to treatments. Dishes were inspected several times per week for mortality and adult emergence,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reached adulthood, they were removed from their dish, assigned a unique identification code, and the date of adult emergence was recorded. Pronotum length (a proxy for body size) and forceps length were photographed under a Leica S6D stereomicroscope (Leica Microsystems Inc., Concord, ON, Canada) at 0.68× magnification using Enersight software. Measurements were obtained to the nearest 0.001 mm using Fiji image-analysis software</w:t>
      </w:r>
      <w:r>
        <w:t xml:space="preserve"> </w:t>
      </w:r>
      <w:r>
        <w:t xml:space="preserve">(Schindelin et al. 2012)</w:t>
      </w:r>
      <w:r>
        <w:t xml:space="preserve"> </w:t>
      </w:r>
      <w:r>
        <w:t xml:space="preserve">following established procedures</w:t>
      </w:r>
      <w:r>
        <w:t xml:space="preserve"> </w:t>
      </w:r>
      <w:r>
        <w:t xml:space="preserve">(van Lieshout and Elgar 2009)</w:t>
      </w:r>
      <w:r>
        <w:t xml:space="preserve">. Measurements were conducted blind to treatment whenever possible. To assess measurement repeatability, a subset of 30 individuals was measured twice. Intraclass correlation coefficients indicated high repeatability for both pronotum length (ICC = 0.94) and forceps length (ICC = 0.97).</w:t>
      </w:r>
    </w:p>
    <w:bookmarkEnd w:id="24"/>
    <w:bookmarkStart w:id="25" w:name="Xe09c0a14a6906ccd10e0b8f234a456446094e35"/>
    <w:p>
      <w:pPr>
        <w:pStyle w:val="Heading3"/>
      </w:pPr>
      <w:r>
        <w:t xml:space="preserve">Data preparation and statistical analyses</w:t>
      </w:r>
    </w:p>
    <w:p>
      <w:pPr>
        <w:pStyle w:val="FirstParagraph"/>
      </w:pPr>
      <w:r>
        <w:t xml:space="preserve">All analyses were conducted in R version 4.4.2</w:t>
      </w:r>
      <w:r>
        <w:t xml:space="preserve"> </w:t>
      </w:r>
      <w:r>
        <w:t xml:space="preserve">(R Core Team 2025)</w:t>
      </w:r>
      <w:r>
        <w:t xml:space="preserve">. Individuals were retained only when the final number of survivors preserved the intended density treatment (low density: one survivor; medium density: at least three survivors; high density: at least six survivors). Individuals lacking sex information were excluded. Final sample sizes for each phenotypic group and developmental environment are provided in Table S1. Pronotum length and forceps length were log-transformed prior to analysis to linearize allometric relationships and reduce heteroscedasticity.</w:t>
      </w:r>
    </w:p>
    <w:p>
      <w:pPr>
        <w:pStyle w:val="BodyText"/>
      </w:pPr>
      <w:r>
        <w:t xml:space="preserve">Male morphs were classified using finite mixture modelling implemented in the package</w:t>
      </w:r>
      <w:r>
        <w:t xml:space="preserve"> </w:t>
      </w:r>
      <w:r>
        <w:rPr>
          <w:i/>
          <w:iCs/>
        </w:rPr>
        <w:t xml:space="preserve">mixsmsn</w:t>
      </w:r>
      <w:r>
        <w:t xml:space="preserve"> </w:t>
      </w:r>
      <w:r>
        <w:t xml:space="preserve">(Prates et al. 2013)</w:t>
      </w:r>
      <w:r>
        <w:t xml:space="preserve">. Raw male forceps lengths were modelled as a two-component skew-normal mixture distribution, and males were assigned to the component with the highest posterior probability. This procedure identified the two discrete male morphs traditionally recognized in</w:t>
      </w:r>
      <w:r>
        <w:t xml:space="preserve"> </w:t>
      </w:r>
      <w:r>
        <w:rPr>
          <w:i/>
          <w:iCs/>
        </w:rPr>
        <w:t xml:space="preserve">F. auricularia</w:t>
      </w:r>
      <w:r>
        <w:t xml:space="preserve">: brachylabic and macrolabic males.</w:t>
      </w:r>
    </w:p>
    <w:p>
      <w:pPr>
        <w:pStyle w:val="BodyText"/>
      </w:pPr>
      <w:r>
        <w:t xml:space="preserve">We analysed allometric relationships using a hierarchical Bayesian model fitted with the package</w:t>
      </w:r>
      <w:r>
        <w:t xml:space="preserve"> </w:t>
      </w:r>
      <w:r>
        <w:rPr>
          <w:i/>
          <w:iCs/>
        </w:rPr>
        <w:t xml:space="preserve">brms</w:t>
      </w:r>
      <w:r>
        <w:t xml:space="preserve"> </w:t>
      </w:r>
      <w:r>
        <w:t xml:space="preserve">(Bürkner 2017)</w:t>
      </w:r>
      <w:r>
        <w:t xml:space="preserve"> </w:t>
      </w:r>
      <w:r>
        <w:t xml:space="preserve">and the</w:t>
      </w:r>
      <w:r>
        <w:t xml:space="preserve"> </w:t>
      </w:r>
      <w:r>
        <w:rPr>
          <w:i/>
          <w:iCs/>
        </w:rPr>
        <w:t xml:space="preserve">cmdstanr</w:t>
      </w:r>
      <w:r>
        <w:t xml:space="preserve"> </w:t>
      </w:r>
      <w:r>
        <w:t xml:space="preserve">backend. Log-transformed forceps length was modelled as a function of log-transformed pronotum length (body size), phenotypic group, diet, density, and all lower-order and higher-order interactions among these predictors. Phenotypic group comprised three levels: females, brachylabic males, and macrolabic males. Treating females and the two male morphs as equivalent levels of a single factor allowed direct comparisons among all phenotypes without assuming a single male allometric relationship.</w:t>
      </w:r>
    </w:p>
    <w:p>
      <w:pPr>
        <w:pStyle w:val="BodyText"/>
      </w:pPr>
      <w:r>
        <w:t xml:space="preserve">Interactions involving body size allowed allometric slopes to vary among phenotypic groups and developmental environments. Terms not involving body size describe differences in model intercepts among groups and environments. Maternal identity was included as a varying intercept and varying slope for body size, allowing families to differ in both average forceps expression and allometric scaling.</w:t>
      </w:r>
    </w:p>
    <w:p>
      <w:pPr>
        <w:pStyle w:val="BodyText"/>
      </w:pPr>
      <w:r>
        <w:t xml:space="preserve">To evaluate whether allometric relationships deviated from linearity, we fitted an alternative model that additionally included a quadratic body-size term and all corresponding interactions. Predictive performance of the linear and quadratic models was compared using approximate leave-one-out cross-validation (LOO) (</w:t>
      </w:r>
      <w:r>
        <w:t xml:space="preserve">Vehtari et al. (2017)</w:t>
      </w:r>
      <w:r>
        <w:t xml:space="preserve">).</w:t>
      </w:r>
    </w:p>
    <w:p>
      <w:pPr>
        <w:pStyle w:val="BodyText"/>
      </w:pPr>
      <w:r>
        <w:t xml:space="preserve">Weakly informative priors were specified for fixed and random effects. Models were fitted using Hamiltonian Monte Carlo sampling, and convergence was assessed using trace plots, effective sample sizes, and</w:t>
      </w:r>
      <w:r>
        <w:t xml:space="preserve"> </w:t>
      </w:r>
      <m:oMath>
        <m:acc>
          <m:accPr>
            <m:chr m:val="̂"/>
          </m:accPr>
          <m:e>
            <m:r>
              <m:t>R</m:t>
            </m:r>
          </m:e>
        </m:acc>
      </m:oMath>
      <w:r>
        <w:t xml:space="preserve"> </w:t>
      </w:r>
      <w:r>
        <w:t xml:space="preserve">values (</w:t>
      </w:r>
      <w:r>
        <w:t xml:space="preserve">Vehtari et al. (2021)</w:t>
      </w:r>
      <w:r>
        <w:t xml:space="preserve">).</w:t>
      </w:r>
    </w:p>
    <w:p>
      <w:pPr>
        <w:pStyle w:val="BodyText"/>
      </w:pPr>
      <w:r>
        <w:t xml:space="preserve">Condition-specific allometric slopes were estimated from posterior distributions using the function</w:t>
      </w:r>
      <w:r>
        <w:t xml:space="preserve"> </w:t>
      </w:r>
      <w:r>
        <w:rPr>
          <w:rStyle w:val="VerbatimChar"/>
        </w:rPr>
        <w:t xml:space="preserve">emtrends()</w:t>
      </w:r>
      <w:r>
        <w:t xml:space="preserve"> </w:t>
      </w:r>
      <w:r>
        <w:t xml:space="preserve">in the package</w:t>
      </w:r>
      <w:r>
        <w:t xml:space="preserve"> </w:t>
      </w:r>
      <w:r>
        <w:rPr>
          <w:i/>
          <w:iCs/>
        </w:rPr>
        <w:t xml:space="preserve">emmeans</w:t>
      </w:r>
      <w:r>
        <w:t xml:space="preserve"> </w:t>
      </w:r>
      <w:r>
        <w:t xml:space="preserve">(Lenth et al. 2019)</w:t>
      </w:r>
      <w:r>
        <w:t xml:space="preserve">. Slopes were estimated separately for each combination of phenotypic group, diet treatment, and density treatment. Pairwise contrasts among phenotypic groups and developmental environments were derived from the same posterior distributions. Pairwise contrasts were calculated as the first level minus the second level (e.g., female − macrolabic or good diet − poor diet), such that negative values indicate larger estimates for the second level.We report posterior medians and 95% credible intervals throughout. Inference was based on posterior distributions rather than null-hypothesis significance testing.</w:t>
      </w:r>
    </w:p>
    <w:bookmarkEnd w:id="25"/>
    <w:bookmarkEnd w:id="26"/>
    <w:bookmarkStart w:id="30" w:name="results"/>
    <w:p>
      <w:pPr>
        <w:pStyle w:val="Heading1"/>
      </w:pPr>
      <w:r>
        <w:t xml:space="preserve">Results</w:t>
      </w:r>
    </w:p>
    <w:p>
      <w:pPr>
        <w:pStyle w:val="FirstParagraph"/>
      </w:pPr>
      <w:r>
        <w:t xml:space="preserve">Females exhibited a continuous distribution of weapon sizes across body sizes (pronotum length: mean ± SD = 1.77 ± 0.14 mm; forceps length: mean ± SD = 3.59 ± 0.24 mm, n = 935). Males formed two discrete clusters corresponding to brachylabic (pronotum length: mean ± SD = 1.66 ± 0.13 mm; forceps length: mean ± SD = 4.06 ± 0.30 mm, n = 491) and macrolabic morphs (pronotum length: mean ± SD = 1.80 ± 0.12 mm; forceps length: mean ± SD = 5.93 ± 0.72 mm, n = 488), with overlap in body size but clear separation in forceps length (</w:t>
      </w:r>
      <w:hyperlink w:anchor="fig-two">
        <w:r>
          <w:rPr>
            <w:rStyle w:val="Hyperlink"/>
          </w:rPr>
          <w:t xml:space="preserve">Figure 2</w:t>
        </w:r>
      </w:hyperlink>
      <w:r>
        <w:t xml:space="preserve">).</w:t>
      </w:r>
    </w:p>
    <w:bookmarkStart w:id="27" w:name="Xb967a6ad8c0800f10fc2527f60ece872ad7b157"/>
    <w:p>
      <w:pPr>
        <w:pStyle w:val="Heading3"/>
      </w:pPr>
      <w:r>
        <w:t xml:space="preserve">Differences among females and male morphs</w:t>
      </w:r>
    </w:p>
    <w:p>
      <w:pPr>
        <w:pStyle w:val="FirstParagraph"/>
      </w:pPr>
      <w:r>
        <w:t xml:space="preserve">Forceps length increased with pronotum length across all phenotypic groups, but most estimated allometric slopes were less than one, indicating predominantly hypoallometric scaling relationships (</w:t>
      </w:r>
      <w:hyperlink w:anchor="fig-three">
        <w:r>
          <w:rPr>
            <w:rStyle w:val="Hyperlink"/>
          </w:rPr>
          <w:t xml:space="preserve">Figure 3</w:t>
        </w:r>
      </w:hyperlink>
      <w:r>
        <w:t xml:space="preserve">; Table S4; Figure S1). Treating females, brachylabic males, and macrolabic males as three phenotypic groups revealed broadly similar hypoallometric scaling relationships across most developmental environments. Under good diet and low density, estimated slopes were 0.37 (95% CrI: 0.18–0.55) in females, 0.43 (95% CrI: 0.20–0.65) in brachylabic males, and 0.46 (95% CrI: 0.21–0.70) in macrolabic males. Pairwise differences among groups were generally small and uncertain, with contrasts overlapping zero across most environments (Table S5).</w:t>
      </w:r>
    </w:p>
    <w:p>
      <w:pPr>
        <w:pStyle w:val="BodyText"/>
      </w:pPr>
      <w:r>
        <w:t xml:space="preserve">A quadratic model provided better expected out-of-sample predictive performance than the linear model. The quadratic model had a higher expected log predictive density than the linear model (Δelpd = 13.21, SE = 6.56; Table S3), suggesting some support for curvature in the relationship between body size and forceps length. However, because the primary objective of the study was to compare condition-specific allometric slopes among phenotypic groups, and because the linear model provides directly interpretable scaling exponents, we retained the linear model as the primary inferential model.</w:t>
      </w:r>
    </w:p>
    <w:p>
      <w:pPr>
        <w:pStyle w:val="BodyText"/>
      </w:pPr>
      <w:r>
        <w:t xml:space="preserve">Across the full set of developmental environments, there was little evidence that females and brachylabic males differed consistently in allometric slope (Table S5). The contrast between females and brachylabic males overlapped zero in every diet-by-density combination examined. Macrolabic males likewise exhibited slopes similar to those of females and brachylabic males under most environmental conditions. The clearest exception occurred under poor diet at medium density, where macrolabic males exhibited a substantially steeper allometric slope (1.24, 95% CrI: 0.75–1.71) than either females (0.33, 95% CrI: 0.16–0.50) or brachylabic males (0.26, 95% CrI: 0.03–0.49). Pairwise contrasts confirmed steeper slopes in macrolabic males than in females and brachylabic males under this environment (Table S5). However, this result should be interpreted cautiously because poor-diet macrolabic males were rare, including only 18 individuals at medium density (Table S1).</w:t>
      </w:r>
    </w:p>
    <w:p>
      <w:pPr>
        <w:pStyle w:val="BodyText"/>
      </w:pPr>
      <w:r>
        <w:t xml:space="preserve">Females and brachylabic males exhibited hypoallometric scaling under all developmental environments examined. Macrolabic males also exhibited hypoallometric scaling in five of the six environments. The sole exception occurred under poor diet and medium density, where the estimated slope exceeded one (1.24, 95% CrI: 0.75–1.71), indicating hyperallometric scaling. Given the low sample sizes for poor-diet macrolabic males (Table S1), this environment-specific hyperallometry should be viewed as suggestive rather than definitive.</w:t>
      </w:r>
    </w:p>
    <w:bookmarkEnd w:id="27"/>
    <w:bookmarkStart w:id="28" w:name="environmental-effects-on-scaling"/>
    <w:p>
      <w:pPr>
        <w:pStyle w:val="Heading3"/>
      </w:pPr>
      <w:r>
        <w:t xml:space="preserve">Environmental effects on scaling</w:t>
      </w:r>
    </w:p>
    <w:p>
      <w:pPr>
        <w:pStyle w:val="FirstParagraph"/>
      </w:pPr>
      <w:r>
        <w:t xml:space="preserve">Environmental effects on allometric slopes were generally weak. In females, diet contrasts overlapped zero at all densities (</w:t>
      </w:r>
      <w:hyperlink w:anchor="fig-three">
        <w:r>
          <w:rPr>
            <w:rStyle w:val="Hyperlink"/>
          </w:rPr>
          <w:t xml:space="preserve">Figure 3</w:t>
        </w:r>
      </w:hyperlink>
      <w:r>
        <w:t xml:space="preserve">; Table S5), indicating little evidence that nutritional conditions altered scaling relationships. Similarly, diet effects on brachylabic male slopes were small and uncertain across all density treatments.</w:t>
      </w:r>
    </w:p>
    <w:p>
      <w:pPr>
        <w:pStyle w:val="BodyText"/>
      </w:pPr>
      <w:r>
        <w:t xml:space="preserve">Evidence for environmental modulation of allometry was concentrated in macrolabic males, but these estimates should be interpreted cautiously because poor-diet macrolabic males were uncommon at low density (n = 3), medium density (n = 18), and high density (n = 13) (Table S1). Under medium density, macrolabic males exhibited steeper slopes under poor diet than under good diet (good–poor contrast = -0.82, 95% CrI: -1.33 to -0.31). By contrast, diet contrasts overlapped zero at low and high densities (Table S5).</w:t>
      </w:r>
    </w:p>
    <w:p>
      <w:pPr>
        <w:pStyle w:val="BodyText"/>
      </w:pPr>
      <w:r>
        <w:t xml:space="preserve">Density effects were likewise weak for females and brachylabic males, with all density contrasts overlapping zero (</w:t>
      </w:r>
      <w:hyperlink w:anchor="fig-three">
        <w:r>
          <w:rPr>
            <w:rStyle w:val="Hyperlink"/>
          </w:rPr>
          <w:t xml:space="preserve">Figure 3</w:t>
        </w:r>
      </w:hyperlink>
      <w:r>
        <w:t xml:space="preserve">; Table S5). In macrolabic males reared on a poor diet, however, slopes differed among density treatments. Specifically, slopes under medium density exceeded those observed under low density (difference = -1.28, 95% CrI: -2.31 to -0.28) and high density (difference = 1.22, 95% CrI: 0.36 to 2.05). Thus, environmental effects on allometric scaling were not expressed broadly across groups but were largely restricted to macrolabic males under poor diet and medium-density conditions, where estimates are based on limited sample sizes.</w:t>
      </w:r>
    </w:p>
    <w:bookmarkEnd w:id="28"/>
    <w:bookmarkStart w:id="29" w:name="among-family-variation"/>
    <w:p>
      <w:pPr>
        <w:pStyle w:val="Heading3"/>
      </w:pPr>
      <w:r>
        <w:t xml:space="preserve">Among-family variation</w:t>
      </w:r>
    </w:p>
    <w:p>
      <w:pPr>
        <w:pStyle w:val="FirstParagraph"/>
      </w:pPr>
      <w:r>
        <w:t xml:space="preserve">Variation among maternal families was modest but non-zero (Table S2). The standard deviation of family-level intercepts was 0.026 (95% CrI: 0.001–0.071), indicating limited variation among families in overall forceps expression after accounting for body size, phenotypic group, diet, and density. There was greater variation among families in allometric slopes (SD = 0.062, 95% CrI: 0.018–0.140), suggesting that the relationship between body size and forceps length differed among maternal families.</w:t>
      </w:r>
    </w:p>
    <w:p>
      <w:pPr>
        <w:pStyle w:val="BodyText"/>
      </w:pPr>
      <w:r>
        <w:t xml:space="preserve">The correlation between family-level intercepts and slopes was negative but highly uncertain (</w:t>
      </w:r>
      <w:r>
        <w:rPr>
          <w:i/>
          <w:iCs/>
        </w:rPr>
        <w:t xml:space="preserve">r</w:t>
      </w:r>
      <w:r>
        <w:t xml:space="preserve"> </w:t>
      </w:r>
      <w:r>
        <w:t xml:space="preserve">= -0.60, 95% CrI: -0.99–0.54), providing little evidence for a consistent association between overall forceps expression and allometric scaling among families. Residual variation was low (SD = 0.073, 95% CrI: 0.071–0.076).</w:t>
      </w:r>
    </w:p>
    <w:bookmarkEnd w:id="29"/>
    <w:bookmarkEnd w:id="30"/>
    <w:bookmarkStart w:id="31" w:name="discussion"/>
    <w:p>
      <w:pPr>
        <w:pStyle w:val="Heading1"/>
      </w:pPr>
      <w:r>
        <w:t xml:space="preserve">Discussion</w:t>
      </w:r>
    </w:p>
    <w:p>
      <w:pPr>
        <w:pStyle w:val="FirstParagraph"/>
      </w:pPr>
      <w:r>
        <w:t xml:space="preserve">Static allometries are often treated as stable descriptors of morphological architecture</w:t>
      </w:r>
      <w:r>
        <w:t xml:space="preserve"> </w:t>
      </w:r>
      <w:r>
        <w:t xml:space="preserve">(Huxley 1932; Gould 1966; Voje 2016)</w:t>
      </w:r>
      <w:r>
        <w:t xml:space="preserve">, yet the extent to which scaling relationships vary among phenotypes and environments remains an important question in evolutionary biology</w:t>
      </w:r>
      <w:r>
        <w:t xml:space="preserve"> </w:t>
      </w:r>
      <w:r>
        <w:t xml:space="preserve">(Pélabon et al. 2014; Voje 2016)</w:t>
      </w:r>
      <w:r>
        <w:t xml:space="preserve">. By analysing females, brachylabic males, and macrolabic males as separate phenotypic groups, we show that forceps allometry in the European earwig is characterised primarily by similarity rather than divergence. Across most developmental environments, females and brachylabic males exhibited nearly indistinguishable hypoallometric scaling relationships, whereas macrolabic males represented the principal source of deviation from this pattern. Environmental effects on scaling exponents were generally weak, and evidence for environmentally mediated divergence was concentrated in a small subset of conditions. Together, these findings suggest that weapon exaggeration in</w:t>
      </w:r>
      <w:r>
        <w:t xml:space="preserve"> </w:t>
      </w:r>
      <w:r>
        <w:rPr>
          <w:i/>
          <w:iCs/>
        </w:rPr>
        <w:t xml:space="preserve">F. auricularia</w:t>
      </w:r>
      <w:r>
        <w:t xml:space="preserve"> </w:t>
      </w:r>
      <w:r>
        <w:t xml:space="preserve">is associated less with broad sex differences in scaling than with the emergence of a discrete exaggerated male phenotype.</w:t>
      </w:r>
    </w:p>
    <w:p>
      <w:pPr>
        <w:pStyle w:val="BodyText"/>
      </w:pPr>
      <w:r>
        <w:t xml:space="preserve">Sexual dimorphism is classically framed as the divergence of males from a shared female</w:t>
      </w:r>
      <w:r>
        <w:t xml:space="preserve"> </w:t>
      </w:r>
      <w:r>
        <w:t xml:space="preserve">“ground plan,”</w:t>
      </w:r>
      <w:r>
        <w:t xml:space="preserve"> </w:t>
      </w:r>
      <w:r>
        <w:t xml:space="preserve">with males viewed as modified females and exaggeration of male traits interpreted as departures from a default developmental programme</w:t>
      </w:r>
      <w:r>
        <w:t xml:space="preserve"> </w:t>
      </w:r>
      <w:r>
        <w:t xml:space="preserve">(Darwin 1871; Bonduriansky 2007b)</w:t>
      </w:r>
      <w:r>
        <w:t xml:space="preserve">. Under this view, alternative male morphs might be expected to diverge from females in proportion to their degree of exaggeration, with the more exaggerated morph showing the greatest departure from the female scaling relationship. Our data are consistent with this prediction for only one morph: macrolabic males depart from the female scaling relationship, whereas brachylabic males do not. This asymmetric divergence is reminiscent of the developmental threshold model for male dimorphism, in which activation of the developmental program responsible for exaggerated trait expression produces only the major morph, while the minor morph retains a more</w:t>
      </w:r>
      <w:r>
        <w:t xml:space="preserve"> </w:t>
      </w:r>
      <w:r>
        <w:t xml:space="preserve">“default”</w:t>
      </w:r>
      <w:r>
        <w:t xml:space="preserve"> </w:t>
      </w:r>
      <w:r>
        <w:t xml:space="preserve">morphology that resembles females</w:t>
      </w:r>
      <w:r>
        <w:t xml:space="preserve"> </w:t>
      </w:r>
      <w:r>
        <w:t xml:space="preserve">(Tomkins et al. 2005; Emlen et al. 2007)</w:t>
      </w:r>
      <w:r>
        <w:t xml:space="preserve">. Mechanistic support for this interpretation comes from horned beetles, in which minor males are produced by failure to initiate horn-growth pathways and consequently express traits that are morphologically more similar to those of females than to those of major males</w:t>
      </w:r>
      <w:r>
        <w:t xml:space="preserve"> </w:t>
      </w:r>
      <w:r>
        <w:t xml:space="preserve">(Emlen et al. 2007)</w:t>
      </w:r>
      <w:r>
        <w:t xml:space="preserve">. Comparative evidence from a clade of neotropical harvestmen shows that sexual dimorphism and male dimorphism frequently evolve in concert, with minor-male weapon expression more closely tracking female than major-male expression across species</w:t>
      </w:r>
      <w:r>
        <w:t xml:space="preserve"> </w:t>
      </w:r>
      <w:r>
        <w:t xml:space="preserve">(Buzatto et al. 2014)</w:t>
      </w:r>
      <w:r>
        <w:t xml:space="preserve">. Our results suggest that</w:t>
      </w:r>
      <w:r>
        <w:t xml:space="preserve"> </w:t>
      </w:r>
      <w:r>
        <w:rPr>
          <w:i/>
          <w:iCs/>
        </w:rPr>
        <w:t xml:space="preserve">F. auricularia</w:t>
      </w:r>
      <w:r>
        <w:t xml:space="preserve"> </w:t>
      </w:r>
      <w:r>
        <w:t xml:space="preserve">may represent an earwig analogue of this pattern: brachylabic males occupy a position that is allometrically closer to females than to macrolabic males, suggesting that the evolution of male dimorphism may represent a more important source of morphological diversification in this species than sexual dimorphism alone.</w:t>
      </w:r>
    </w:p>
    <w:p>
      <w:pPr>
        <w:pStyle w:val="BodyText"/>
      </w:pPr>
      <w:r>
        <w:t xml:space="preserve">This pattern is not universal across male-dimorphic systems. In the Wellington tree wētā (</w:t>
      </w:r>
      <w:r>
        <w:rPr>
          <w:i/>
          <w:iCs/>
        </w:rPr>
        <w:t xml:space="preserve">Hemideina crassidens</w:t>
      </w:r>
      <w:r>
        <w:t xml:space="preserve">), morph-specific weapon allometries did not align closely with the degree of weapon exaggeration or the presumed mating role of each male morph</w:t>
      </w:r>
      <w:r>
        <w:t xml:space="preserve"> </w:t>
      </w:r>
      <w:r>
        <w:t xml:space="preserve">(Kelly 2026)</w:t>
      </w:r>
      <w:r>
        <w:t xml:space="preserve">. In that species, the conventional fighter morph did not exhibit steeper weapon allometry than the alternative morphs, suggesting that morph-specific scaling relationships can evolve independently of obvious differences in reproductive tactic or weapon expression. By comparison, the present study reveals a more intuitive pattern in which the exaggerated macrolabic morph is also the phenotype most differentiated allometrically. Together, these studies indicate that alternative reproductive phenotypes do not follow a single evolutionary route to weapon exaggeration: in some systems, morph divergence is associated with pronounced differences in scaling relationships, whereas in others morphs differ substantially in weapon expression despite retaining broadly similar allometries.</w:t>
      </w:r>
    </w:p>
    <w:p>
      <w:pPr>
        <w:pStyle w:val="BodyText"/>
      </w:pPr>
      <w:r>
        <w:t xml:space="preserve">The predominance of hypoallometry is itself notable. Sexually selected weapons are frequently characterised by positive or hyperallometric scaling</w:t>
      </w:r>
      <w:r>
        <w:t xml:space="preserve"> </w:t>
      </w:r>
      <w:r>
        <w:t xml:space="preserve">(Kodric-Brown et al. 2006; Bonduriansky 2007a)</w:t>
      </w:r>
      <w:r>
        <w:t xml:space="preserve">, yet forceps length increased less than proportionally with body size in nearly all environments and phenotypic groups. This result is consistent with growing recognition that exaggerated sexual traits need not exhibit hyperallometric scaling</w:t>
      </w:r>
      <w:r>
        <w:t xml:space="preserve"> </w:t>
      </w:r>
      <w:r>
        <w:t xml:space="preserve">(Bonduriansky and Day 2003; Eberhard et al. 2018; Kelly 2026)</w:t>
      </w:r>
      <w:r>
        <w:t xml:space="preserve"> </w:t>
      </w:r>
      <w:r>
        <w:t xml:space="preserve">and aligns with recent comparative work in beetles showing that allometric slope and intercept can evolve semi-independently in response to sexual selection</w:t>
      </w:r>
      <w:r>
        <w:t xml:space="preserve"> </w:t>
      </w:r>
      <w:r>
        <w:t xml:space="preserve">(Painting et al. 2024)</w:t>
      </w:r>
      <w:r>
        <w:t xml:space="preserve">. Earwig forceps serve multiple functions, including male–male competition, predator defence, prey handling, and courtship interactions</w:t>
      </w:r>
      <w:r>
        <w:t xml:space="preserve"> </w:t>
      </w:r>
      <w:r>
        <w:t xml:space="preserve">(Kamimura 2014; Meunier 2024)</w:t>
      </w:r>
      <w:r>
        <w:t xml:space="preserve">. Such multifunctionality may constrain disproportionate investment in a single function and favour more moderate scaling relationships than those observed in structures used exclusively as sexual weapons. Importantly, a recent study in</w:t>
      </w:r>
      <w:r>
        <w:t xml:space="preserve"> </w:t>
      </w:r>
      <w:r>
        <w:rPr>
          <w:i/>
          <w:iCs/>
        </w:rPr>
        <w:t xml:space="preserve">F. auricularia</w:t>
      </w:r>
      <w:r>
        <w:t xml:space="preserve"> </w:t>
      </w:r>
      <w:r>
        <w:t xml:space="preserve">itself found no association between male forceps length and six behavioural or physiological traits commonly assumed to indicate male quality</w:t>
      </w:r>
      <w:r>
        <w:t xml:space="preserve"> </w:t>
      </w:r>
      <w:r>
        <w:t xml:space="preserve">(Blackwell et al. 2024)</w:t>
      </w:r>
      <w:r>
        <w:t xml:space="preserve">, raising the possibility that forceps function — and therefore the selection regime acting on forceps scaling — may be more diffuse than the classical weapon model assumes. The widespread occurrence of hypoallometry across females and both male morphs further suggests that similar functional or developmental constraints operate throughout the species despite substantial differences in absolute forceps expression. Indeed, recent work on a confamilial earwig, the maritime earwig</w:t>
      </w:r>
      <w:r>
        <w:t xml:space="preserve"> </w:t>
      </w:r>
      <w:r>
        <w:rPr>
          <w:i/>
          <w:iCs/>
        </w:rPr>
        <w:t xml:space="preserve">Anisolabis maritima</w:t>
      </w:r>
      <w:r>
        <w:t xml:space="preserve">, shows that female forceps in that species exhibit positive allometry</w:t>
      </w:r>
      <w:r>
        <w:t xml:space="preserve"> </w:t>
      </w:r>
      <w:r>
        <w:t xml:space="preserve">(Matsuzawa and Konuma 2025)</w:t>
      </w:r>
      <w:r>
        <w:t xml:space="preserve">, indicating that the scaling regime of female forceps is not fixed across Dermaptera and that</w:t>
      </w:r>
      <w:r>
        <w:t xml:space="preserve"> </w:t>
      </w:r>
      <w:r>
        <w:rPr>
          <w:i/>
          <w:iCs/>
        </w:rPr>
        <w:t xml:space="preserve">F. auricularia</w:t>
      </w:r>
      <w:r>
        <w:t xml:space="preserve"> </w:t>
      </w:r>
      <w:r>
        <w:t xml:space="preserve">may represent a case in which female forceps scaling has become decoupled from selection on weapon expression.</w:t>
      </w:r>
    </w:p>
    <w:p>
      <w:pPr>
        <w:pStyle w:val="BodyText"/>
      </w:pPr>
      <w:r>
        <w:t xml:space="preserve">Environmental effects on scaling relationships were generally limited. This finding is noteworthy because sexually selected traits are often predicted to exhibit strong condition dependence and heightened sensitivity to developmental environments</w:t>
      </w:r>
      <w:r>
        <w:t xml:space="preserve"> </w:t>
      </w:r>
      <w:r>
        <w:t xml:space="preserve">(Rowe and Houle 1996; Cotton et al. 2004; Bonduriansky 2007a)</w:t>
      </w:r>
      <w:r>
        <w:t xml:space="preserve">. Females and brachylabic males exhibited little evidence of environmentally induced variation in scaling exponents, and most contrasts among developmental environments overlapped zero. Evidence for environmental sensitivity was concentrated in macrolabic males, particularly under poor diet and medium-density conditions, where estimated slopes exceeded one and were steeper than those of the other phenotypic groups. However, this result should be interpreted cautiously because macrolabic males were uncommon under poor-diet conditions, resulting in small sample sizes and substantial uncertainty. Although the elevated slopes observed in some macrolabic male environments are</w:t>
      </w:r>
      <w:r>
        <w:t xml:space="preserve"> </w:t>
      </w:r>
      <w:r>
        <w:rPr>
          <w:i/>
          <w:iCs/>
        </w:rPr>
        <w:t xml:space="preserve">suggestive</w:t>
      </w:r>
      <w:r>
        <w:t xml:space="preserve"> </w:t>
      </w:r>
      <w:r>
        <w:t xml:space="preserve">of heightened condition dependence, we emphasise that this inference rests on small sample sizes and a single diet × density cell; we therefore treat it as a hypothesis for future work rather than a robust conclusion. The overall pattern is consistent with recent evidence that selection on weapon allometry in the wild can act on the intercept rather than the slope of the scaling relationship</w:t>
      </w:r>
      <w:r>
        <w:t xml:space="preserve"> </w:t>
      </w:r>
      <w:r>
        <w:t xml:space="preserve">(Emberts et al. 2023)</w:t>
      </w:r>
      <w:r>
        <w:t xml:space="preserve">, implying that developmental environments may influence weapon size primarily through effects on growth and average trait expression rather than through large changes in the allometric relationship itself.</w:t>
      </w:r>
    </w:p>
    <w:p>
      <w:pPr>
        <w:pStyle w:val="BodyText"/>
      </w:pPr>
      <w:r>
        <w:t xml:space="preserve">The similarity of females and brachylabic males also provides insight into the developmental basis of morph differentiation. Previous work has shown that morph expression in</w:t>
      </w:r>
      <w:r>
        <w:t xml:space="preserve"> </w:t>
      </w:r>
      <w:r>
        <w:rPr>
          <w:i/>
          <w:iCs/>
        </w:rPr>
        <w:t xml:space="preserve">F. auricularia</w:t>
      </w:r>
      <w:r>
        <w:t xml:space="preserve"> </w:t>
      </w:r>
      <w:r>
        <w:t xml:space="preserve">is influenced by both genetic and environmental factors</w:t>
      </w:r>
      <w:r>
        <w:t xml:space="preserve"> </w:t>
      </w:r>
      <w:r>
        <w:t xml:space="preserve">(Tomkins 1999; Tomkins and Brown 2004)</w:t>
      </w:r>
      <w:r>
        <w:t xml:space="preserve">, and that morph frequencies shift with population density over short geographic distances, consistent with a threshold trait under conditional selection</w:t>
      </w:r>
      <w:r>
        <w:t xml:space="preserve"> </w:t>
      </w:r>
      <w:r>
        <w:t xml:space="preserve">(Tomkins and Brown 2004)</w:t>
      </w:r>
      <w:r>
        <w:t xml:space="preserve">. If morph determination were governed solely by body size, one would expect a relatively sharp transition between phenotypes. Instead, substantial overlap in body size occurs between brachylabic and macrolabic males in our sample. Our results suggest that morph differentiation is not accompanied by wholesale restructuring of allometric relationships. Rather, the exaggerated phenotype appears to emerge against a background of generally conserved scaling relationships, consistent with developmental threshold models in which discrete morph expression arises through changes in developmental pathways affecting weapon growth while the broader relationship between body size and trait size remains largely intact</w:t>
      </w:r>
      <w:r>
        <w:t xml:space="preserve"> </w:t>
      </w:r>
      <w:r>
        <w:t xml:space="preserve">(Tomkins et al. 2005; Emlen et al. 2007)</w:t>
      </w:r>
      <w:r>
        <w:t xml:space="preserve">. More generally, Emlen and colleagues</w:t>
      </w:r>
      <w:r>
        <w:t xml:space="preserve"> </w:t>
      </w:r>
      <w:r>
        <w:t xml:space="preserve">(Emlen and Nijhout 2000; Emlen et al. 2007)</w:t>
      </w:r>
      <w:r>
        <w:t xml:space="preserve"> </w:t>
      </w:r>
      <w:r>
        <w:t xml:space="preserve">argued that exaggerated morphologies evolve through modifications of developmental reaction norms linking trait size to body size, often mediated by threshold-like switches. The concentration of allometric divergence within macrolabic males is consistent with this view and suggests that forceps exaggeration in</w:t>
      </w:r>
      <w:r>
        <w:t xml:space="preserve"> </w:t>
      </w:r>
      <w:r>
        <w:rPr>
          <w:i/>
          <w:iCs/>
        </w:rPr>
        <w:t xml:space="preserve">F. auricularia</w:t>
      </w:r>
      <w:r>
        <w:t xml:space="preserve"> </w:t>
      </w:r>
      <w:r>
        <w:t xml:space="preserve">emerges through modification of a shared developmental architecture rather than through wholesale restructuring of forceps allometry across all males.</w:t>
      </w:r>
    </w:p>
    <w:p>
      <w:pPr>
        <w:pStyle w:val="BodyText"/>
      </w:pPr>
      <w:r>
        <w:t xml:space="preserve">Variation among maternal families was modest but non-zero, indicating that scaling relationships differ slightly among related individuals. Family-level variation in slopes exceeded variation in intercepts, suggesting that the strength of trait–body size covariation varies among maternal lineages. However, the correlation between family-level intercepts and slopes was highly uncertain, providing little evidence that families producing relatively larger forceps also exhibit systematically steeper allometries. Although family effects cannot be partitioned into genetic and shared environmental components in the present study, the existence of among-family variation suggests that scaling relationships are not completely fixed and may provide a substrate for evolutionary change</w:t>
      </w:r>
      <w:r>
        <w:t xml:space="preserve"> </w:t>
      </w:r>
      <w:r>
        <w:t xml:space="preserve">(Lande 1980; Pélabon et al. 2014)</w:t>
      </w:r>
      <w:r>
        <w:t xml:space="preserve">.</w:t>
      </w:r>
    </w:p>
    <w:p>
      <w:pPr>
        <w:pStyle w:val="BodyText"/>
      </w:pPr>
      <w:r>
        <w:t xml:space="preserve">More broadly, our results support a view of static allometry as a hierarchical phenotype in which patterns of trait–body size covariation emerge from multiple sources of variation operating at different biological levels. This perspective aligns with the argument that allometries are best viewed as evolving developmental reaction norms rather than immutable constraints on morphological evolution</w:t>
      </w:r>
      <w:r>
        <w:t xml:space="preserve"> </w:t>
      </w:r>
      <w:r>
        <w:t xml:space="preserve">(Emlen and Nijhout 2000)</w:t>
      </w:r>
      <w:r>
        <w:t xml:space="preserve">. Most of the observed structure occurred among phenotypic groups rather than among developmental environments or maternal families. In particular, the primary distinction was not between males and females but between the exaggerated macrolabic morph and all other phenotypes. If this pattern generalises to other male-dimorphic systems, then the standard practice of pooling male morphs in studies of weapon allometry — common in the literature</w:t>
      </w:r>
      <w:r>
        <w:t xml:space="preserve"> </w:t>
      </w:r>
      <w:r>
        <w:t xml:space="preserve">(e.g. Kelly 2005; see also Kochensparger et al. 2024)</w:t>
      </w:r>
      <w:r>
        <w:t xml:space="preserve"> </w:t>
      </w:r>
      <w:r>
        <w:t xml:space="preserve">— may obscure real structure in scaling relationships and underestimate the diversity of evolutionary pathways leading to weapon exaggeration. Our findings underscore the need to consider alternative reproductive phenotypes explicitly when studying the allometric basis of sexual dimorphism and indicate that, in at least some species, substantial evolutionary divergence may occur within males themselves rather than between the sexes. We therefore suggest that alternative reproductive phenotypes may represent distinct allometric variants whose evolutionary trajectories are only revealed when they are analysed as separate categories at the same hierarchical level as females.</w:t>
      </w:r>
    </w:p>
    <w:bookmarkEnd w:id="31"/>
    <w:bookmarkStart w:id="32"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3"/>
    <w:bookmarkStart w:id="34" w:name="conflict-of-interest"/>
    <w:p>
      <w:pPr>
        <w:pStyle w:val="Heading1"/>
      </w:pPr>
      <w:r>
        <w:t xml:space="preserve">Conflict of Interest</w:t>
      </w:r>
    </w:p>
    <w:p>
      <w:pPr>
        <w:pStyle w:val="FirstParagraph"/>
      </w:pPr>
      <w:r>
        <w:t xml:space="preserve">We declare no conflicts of interest.</w:t>
      </w:r>
    </w:p>
    <w:bookmarkEnd w:id="34"/>
    <w:bookmarkStart w:id="35" w:name="acknowledgements"/>
    <w:p>
      <w:pPr>
        <w:pStyle w:val="Heading1"/>
      </w:pPr>
      <w:r>
        <w:t xml:space="preserve">Acknowledgements</w:t>
      </w:r>
    </w:p>
    <w:p>
      <w:pPr>
        <w:pStyle w:val="FirstParagraph"/>
      </w:pPr>
      <w:r>
        <w:t xml:space="preserve">We thank Andreanne Nault for her help in the lab.</w:t>
      </w:r>
    </w:p>
    <w:p>
      <w:r>
        <w:br w:type="page"/>
      </w:r>
    </w:p>
    <w:bookmarkEnd w:id="35"/>
    <w:bookmarkStart w:id="140" w:name="references"/>
    <w:p>
      <w:pPr>
        <w:pStyle w:val="Heading1"/>
      </w:pPr>
      <w:r>
        <w:t xml:space="preserve">References</w:t>
      </w:r>
    </w:p>
    <w:bookmarkStart w:id="126" w:name="refs"/>
    <w:bookmarkStart w:id="37" w:name="ref-blackwell2024"/>
    <w:p>
      <w:pPr>
        <w:pStyle w:val="Bibliography"/>
      </w:pPr>
      <w:r>
        <w:t xml:space="preserve">Blackwell, S. E. M., L. Pasquier, S. Dupont, S. Devers, C. Lecureuil, and J. Meunier. 2024.</w:t>
      </w:r>
      <w:r>
        <w:t xml:space="preserve"> </w:t>
      </w:r>
      <w:hyperlink r:id="rId36">
        <w:r>
          <w:rPr>
            <w:rStyle w:val="Hyperlink"/>
          </w:rPr>
          <w:t xml:space="preserve">Relationship between weapon size and six key behavioural and physiological traits in males of the</w:t>
        </w:r>
        <w:r>
          <w:rPr>
            <w:rStyle w:val="Hyperlink"/>
          </w:rPr>
          <w:t xml:space="preserve"> </w:t>
        </w:r>
        <w:r>
          <w:rPr>
            <w:rStyle w:val="Hyperlink"/>
          </w:rPr>
          <w:t xml:space="preserve">European</w:t>
        </w:r>
        <w:r>
          <w:rPr>
            <w:rStyle w:val="Hyperlink"/>
          </w:rPr>
          <w:t xml:space="preserve"> </w:t>
        </w:r>
        <w:r>
          <w:rPr>
            <w:rStyle w:val="Hyperlink"/>
          </w:rPr>
          <w:t xml:space="preserve">earwig</w:t>
        </w:r>
      </w:hyperlink>
      <w:r>
        <w:t xml:space="preserve">. Peer Community J. 4:1–15. Peer Community In.</w:t>
      </w:r>
    </w:p>
    <w:bookmarkEnd w:id="37"/>
    <w:bookmarkStart w:id="39" w:name="ref-bonduriansky2007"/>
    <w:p>
      <w:pPr>
        <w:pStyle w:val="Bibliography"/>
      </w:pPr>
      <w:r>
        <w:t xml:space="preserve">Bonduriansky, R. 2007a.</w:t>
      </w:r>
      <w:r>
        <w:t xml:space="preserve"> </w:t>
      </w:r>
      <w:hyperlink r:id="rId38">
        <w:r>
          <w:rPr>
            <w:rStyle w:val="Hyperlink"/>
          </w:rPr>
          <w:t xml:space="preserve">Sexual selection and allometry:</w:t>
        </w:r>
        <w:r>
          <w:rPr>
            <w:rStyle w:val="Hyperlink"/>
          </w:rPr>
          <w:t xml:space="preserve"> </w:t>
        </w:r>
        <w:r>
          <w:rPr>
            <w:rStyle w:val="Hyperlink"/>
          </w:rPr>
          <w:t xml:space="preserve">A</w:t>
        </w:r>
        <w:r>
          <w:rPr>
            <w:rStyle w:val="Hyperlink"/>
          </w:rPr>
          <w:t xml:space="preserve"> </w:t>
        </w:r>
        <w:r>
          <w:rPr>
            <w:rStyle w:val="Hyperlink"/>
          </w:rPr>
          <w:t xml:space="preserve">critical reappraisal of the evidence and ideas</w:t>
        </w:r>
      </w:hyperlink>
      <w:r>
        <w:t xml:space="preserve">. Evolution 61:838–49.</w:t>
      </w:r>
    </w:p>
    <w:bookmarkEnd w:id="39"/>
    <w:bookmarkStart w:id="41" w:name="ref-bonduriansky2007a"/>
    <w:p>
      <w:pPr>
        <w:pStyle w:val="Bibliography"/>
      </w:pPr>
      <w:r>
        <w:t xml:space="preserve">Bonduriansky, R. 2007b.</w:t>
      </w:r>
      <w:r>
        <w:t xml:space="preserve"> </w:t>
      </w:r>
      <w:hyperlink r:id="rId40">
        <w:r>
          <w:rPr>
            <w:rStyle w:val="Hyperlink"/>
          </w:rPr>
          <w:t xml:space="preserve">The evolution of condition-dependent sexual dimorphism</w:t>
        </w:r>
      </w:hyperlink>
      <w:r>
        <w:t xml:space="preserve">. Am. Nat. 169:9–19.</w:t>
      </w:r>
    </w:p>
    <w:bookmarkEnd w:id="41"/>
    <w:bookmarkStart w:id="42" w:name="ref-bonduriansky2003"/>
    <w:p>
      <w:pPr>
        <w:pStyle w:val="Bibliography"/>
      </w:pPr>
      <w:r>
        <w:t xml:space="preserve">Bonduriansky, R., and T. Day. 2003. The evolution of static allometry in sexually selected traits. Evolution 57:2450–2458. Wiley Online Library.</w:t>
      </w:r>
    </w:p>
    <w:bookmarkEnd w:id="42"/>
    <w:bookmarkStart w:id="44" w:name="ref-burkner2017"/>
    <w:p>
      <w:pPr>
        <w:pStyle w:val="Bibliography"/>
      </w:pPr>
      <w:r>
        <w:t xml:space="preserve">Bürkner, P.-C. 2017.</w:t>
      </w:r>
      <w:r>
        <w:t xml:space="preserve"> </w:t>
      </w:r>
      <w:hyperlink r:id="rId43">
        <w:r>
          <w:rPr>
            <w:rStyle w:val="Hyperlink"/>
          </w:rPr>
          <w:t xml:space="preserve">Brms: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 J. Stat. Softw. 80:4308. Foundation for Open Access Statistic.</w:t>
      </w:r>
    </w:p>
    <w:bookmarkEnd w:id="44"/>
    <w:bookmarkStart w:id="46" w:name="ref-buzatto2014"/>
    <w:p>
      <w:pPr>
        <w:pStyle w:val="Bibliography"/>
      </w:pPr>
      <w:r>
        <w:t xml:space="preserve">Buzatto, B. A., J. L. Tomkins, L. W. Simmons, and G. Machado. 2014.</w:t>
      </w:r>
      <w:r>
        <w:t xml:space="preserve"> </w:t>
      </w:r>
      <w:hyperlink r:id="rId45">
        <w:r>
          <w:rPr>
            <w:rStyle w:val="Hyperlink"/>
          </w:rPr>
          <w:t xml:space="preserve">Correlated evolution of sexual dimorphism and</w:t>
        </w:r>
        <w:r>
          <w:rPr>
            <w:rStyle w:val="Hyperlink"/>
          </w:rPr>
          <w:t xml:space="preserve"> </w:t>
        </w:r>
        <w:r>
          <w:rPr>
            <w:rStyle w:val="Hyperlink"/>
          </w:rPr>
          <w:t xml:space="preserve">Male</w:t>
        </w:r>
        <w:r>
          <w:rPr>
            <w:rStyle w:val="Hyperlink"/>
          </w:rPr>
          <w:t xml:space="preserve"> </w:t>
        </w:r>
        <w:r>
          <w:rPr>
            <w:rStyle w:val="Hyperlink"/>
          </w:rPr>
          <w:t xml:space="preserve">dimorphism in a clade of neotropical harvestmen: Coevolution of sexual and</w:t>
        </w:r>
        <w:r>
          <w:rPr>
            <w:rStyle w:val="Hyperlink"/>
          </w:rPr>
          <w:t xml:space="preserve"> </w:t>
        </w:r>
        <w:r>
          <w:rPr>
            <w:rStyle w:val="Hyperlink"/>
          </w:rPr>
          <w:t xml:space="preserve">Male</w:t>
        </w:r>
        <w:r>
          <w:rPr>
            <w:rStyle w:val="Hyperlink"/>
          </w:rPr>
          <w:t xml:space="preserve"> </w:t>
        </w:r>
        <w:r>
          <w:rPr>
            <w:rStyle w:val="Hyperlink"/>
          </w:rPr>
          <w:t xml:space="preserve">dimorphism</w:t>
        </w:r>
      </w:hyperlink>
      <w:r>
        <w:t xml:space="preserve">. Evolution 68:1671–1686.</w:t>
      </w:r>
    </w:p>
    <w:bookmarkEnd w:id="46"/>
    <w:bookmarkStart w:id="48" w:name="ref-cotton2004"/>
    <w:p>
      <w:pPr>
        <w:pStyle w:val="Bibliography"/>
      </w:pPr>
      <w:r>
        <w:t xml:space="preserve">Cotton, S., K. Fowler, and A. Pomiankowski. 2004.</w:t>
      </w:r>
      <w:r>
        <w:t xml:space="preserve"> </w:t>
      </w:r>
      <w:hyperlink r:id="rId47">
        <w:r>
          <w:rPr>
            <w:rStyle w:val="Hyperlink"/>
          </w:rPr>
          <w:t xml:space="preserve">Condition dependence of sexual ornament size and variation in the stalk-eyed fly</w:t>
        </w:r>
        <w:r>
          <w:rPr>
            <w:rStyle w:val="Hyperlink"/>
          </w:rPr>
          <w:t xml:space="preserve"> </w:t>
        </w:r>
        <w:r>
          <w:rPr>
            <w:rStyle w:val="Hyperlink"/>
          </w:rPr>
          <w:t xml:space="preserve">(</w:t>
        </w:r>
        <w:r>
          <w:rPr>
            <w:rStyle w:val="Hyperlink"/>
          </w:rPr>
          <w:t xml:space="preserve">iptera:</w:t>
        </w:r>
        <w:r>
          <w:rPr>
            <w:rStyle w:val="Hyperlink"/>
          </w:rPr>
          <w:t xml:space="preserve"> </w:t>
        </w:r>
        <w:r>
          <w:rPr>
            <w:rStyle w:val="Hyperlink"/>
          </w:rPr>
          <w:t xml:space="preserve">iopsidae)</w:t>
        </w:r>
      </w:hyperlink>
      <w:r>
        <w:t xml:space="preserve">. Evolution 58:1038–1046.</w:t>
      </w:r>
    </w:p>
    <w:bookmarkEnd w:id="48"/>
    <w:bookmarkStart w:id="50" w:name="ref-darwin1871"/>
    <w:p>
      <w:pPr>
        <w:pStyle w:val="Bibliography"/>
      </w:pPr>
      <w:r>
        <w:t xml:space="preserve">Darwin, C. 1871.</w:t>
      </w:r>
      <w:r>
        <w:t xml:space="preserve"> </w:t>
      </w:r>
      <w:hyperlink r:id="rId49">
        <w:r>
          <w:rPr>
            <w:rStyle w:val="Hyperlink"/>
          </w:rPr>
          <w:t xml:space="preserve">The</w:t>
        </w:r>
        <w:r>
          <w:rPr>
            <w:rStyle w:val="Hyperlink"/>
          </w:rPr>
          <w:t xml:space="preserve"> </w:t>
        </w:r>
        <w:r>
          <w:rPr>
            <w:rStyle w:val="Hyperlink"/>
          </w:rPr>
          <w:t xml:space="preserve">Descent</w:t>
        </w:r>
        <w:r>
          <w:rPr>
            <w:rStyle w:val="Hyperlink"/>
          </w:rPr>
          <w:t xml:space="preserve"> </w:t>
        </w:r>
        <w:r>
          <w:rPr>
            <w:rStyle w:val="Hyperlink"/>
          </w:rPr>
          <w:t xml:space="preserve">of</w:t>
        </w:r>
        <w:r>
          <w:rPr>
            <w:rStyle w:val="Hyperlink"/>
          </w:rPr>
          <w:t xml:space="preserve"> </w:t>
        </w:r>
        <w:r>
          <w:rPr>
            <w:rStyle w:val="Hyperlink"/>
          </w:rPr>
          <w:t xml:space="preserve">Man</w:t>
        </w:r>
        <w:r>
          <w:rPr>
            <w:rStyle w:val="Hyperlink"/>
          </w:rPr>
          <w:t xml:space="preserve">, and</w:t>
        </w:r>
        <w:r>
          <w:rPr>
            <w:rStyle w:val="Hyperlink"/>
          </w:rPr>
          <w:t xml:space="preserve"> </w:t>
        </w:r>
        <w:r>
          <w:rPr>
            <w:rStyle w:val="Hyperlink"/>
          </w:rPr>
          <w:t xml:space="preserve">Selection</w:t>
        </w:r>
        <w:r>
          <w:rPr>
            <w:rStyle w:val="Hyperlink"/>
          </w:rPr>
          <w:t xml:space="preserve"> </w:t>
        </w:r>
        <w:r>
          <w:rPr>
            <w:rStyle w:val="Hyperlink"/>
          </w:rPr>
          <w:t xml:space="preserve">in</w:t>
        </w:r>
        <w:r>
          <w:rPr>
            <w:rStyle w:val="Hyperlink"/>
          </w:rPr>
          <w:t xml:space="preserve"> </w:t>
        </w:r>
        <w:r>
          <w:rPr>
            <w:rStyle w:val="Hyperlink"/>
          </w:rPr>
          <w:t xml:space="preserve">Relation</w:t>
        </w:r>
        <w:r>
          <w:rPr>
            <w:rStyle w:val="Hyperlink"/>
          </w:rPr>
          <w:t xml:space="preserve"> </w:t>
        </w:r>
        <w:r>
          <w:rPr>
            <w:rStyle w:val="Hyperlink"/>
          </w:rPr>
          <w:t xml:space="preserve">to</w:t>
        </w:r>
        <w:r>
          <w:rPr>
            <w:rStyle w:val="Hyperlink"/>
          </w:rPr>
          <w:t xml:space="preserve"> </w:t>
        </w:r>
        <w:r>
          <w:rPr>
            <w:rStyle w:val="Hyperlink"/>
          </w:rPr>
          <w:t xml:space="preserve">Sex</w:t>
        </w:r>
      </w:hyperlink>
      <w:r>
        <w:t xml:space="preserve">. John Murray, London, England.</w:t>
      </w:r>
    </w:p>
    <w:bookmarkEnd w:id="50"/>
    <w:bookmarkStart w:id="52" w:name="ref-eberhard2018"/>
    <w:p>
      <w:pPr>
        <w:pStyle w:val="Bibliography"/>
      </w:pPr>
      <w:r>
        <w:t xml:space="preserve">Eberhard, W. G., R. L. Rodríguez, B. A. Huber, B. Speck, H. Miller, B. A. Buzatto, and G. Machado. 2018.</w:t>
      </w:r>
      <w:r>
        <w:t xml:space="preserve"> </w:t>
      </w:r>
      <w:hyperlink r:id="rId51">
        <w:r>
          <w:rPr>
            <w:rStyle w:val="Hyperlink"/>
          </w:rPr>
          <w:t xml:space="preserve">Sexual selection and static allometry: The importance of function</w:t>
        </w:r>
      </w:hyperlink>
      <w:r>
        <w:t xml:space="preserve">. Q. Rev. Biol. 93:207–250. University of Chicago Press Chicago, IL.</w:t>
      </w:r>
    </w:p>
    <w:bookmarkEnd w:id="52"/>
    <w:bookmarkStart w:id="54" w:name="ref-emberts2023"/>
    <w:p>
      <w:pPr>
        <w:pStyle w:val="Bibliography"/>
      </w:pPr>
      <w:r>
        <w:t xml:space="preserve">Emberts, Z., U. Somjee, and J. J. Wiens. 2023.</w:t>
      </w:r>
      <w:r>
        <w:t xml:space="preserve"> </w:t>
      </w:r>
      <w:hyperlink r:id="rId53">
        <w:r>
          <w:rPr>
            <w:rStyle w:val="Hyperlink"/>
          </w:rPr>
          <w:t xml:space="preserve">Selection on weapon allometry in the wild</w:t>
        </w:r>
      </w:hyperlink>
      <w:r>
        <w:t xml:space="preserve">. Evolution 77:2090–2099.</w:t>
      </w:r>
    </w:p>
    <w:bookmarkEnd w:id="54"/>
    <w:bookmarkStart w:id="56" w:name="ref-emlen1997"/>
    <w:p>
      <w:pPr>
        <w:pStyle w:val="Bibliography"/>
      </w:pPr>
      <w:r>
        <w:t xml:space="preserve">Emlen, D. J. 1997.</w:t>
      </w:r>
      <w:r>
        <w:t xml:space="preserve"> </w:t>
      </w:r>
      <w:hyperlink r:id="rId55">
        <w:r>
          <w:rPr>
            <w:rStyle w:val="Hyperlink"/>
          </w:rPr>
          <w:t xml:space="preserve">Alternative reproductive tactics and</w:t>
        </w:r>
        <w:r>
          <w:rPr>
            <w:rStyle w:val="Hyperlink"/>
          </w:rPr>
          <w:t xml:space="preserve"> </w:t>
        </w:r>
        <w:r>
          <w:rPr>
            <w:rStyle w:val="Hyperlink"/>
          </w:rPr>
          <w:t xml:space="preserve">Male-dimorphism</w:t>
        </w:r>
        <w:r>
          <w:rPr>
            <w:rStyle w:val="Hyperlink"/>
          </w:rPr>
          <w:t xml:space="preserve"> </w:t>
        </w:r>
        <w:r>
          <w:rPr>
            <w:rStyle w:val="Hyperlink"/>
          </w:rPr>
          <w:t xml:space="preserve">in the horned beetle</w:t>
        </w:r>
        <w:r>
          <w:rPr>
            <w:rStyle w:val="Hyperlink"/>
          </w:rPr>
          <w:t xml:space="preserve"> </w:t>
        </w:r>
        <w:r>
          <w:rPr>
            <w:rStyle w:val="Hyperlink"/>
          </w:rPr>
          <w:t xml:space="preserve"> </w:t>
        </w:r>
        <w:r>
          <w:rPr>
            <w:rStyle w:val="Hyperlink"/>
          </w:rPr>
          <w:t xml:space="preserve">(</w:t>
        </w:r>
        <w:r>
          <w:rPr>
            <w:rStyle w:val="Hyperlink"/>
          </w:rPr>
          <w:t xml:space="preserve">oleoptera:</w:t>
        </w:r>
        <w:r>
          <w:rPr>
            <w:rStyle w:val="Hyperlink"/>
          </w:rPr>
          <w:t xml:space="preserve"> </w:t>
        </w:r>
        <w:r>
          <w:rPr>
            <w:rStyle w:val="Hyperlink"/>
          </w:rPr>
          <w:t xml:space="preserve">carabaeidae)</w:t>
        </w:r>
      </w:hyperlink>
      <w:r>
        <w:t xml:space="preserve">. Behav. Ecol. Sociobiol. 41:335–341. Springer.</w:t>
      </w:r>
    </w:p>
    <w:bookmarkEnd w:id="56"/>
    <w:bookmarkStart w:id="58" w:name="ref-emlen2007"/>
    <w:p>
      <w:pPr>
        <w:pStyle w:val="Bibliography"/>
      </w:pPr>
      <w:r>
        <w:t xml:space="preserve">Emlen, D. J., L. C. Lavine, and B. Ewen-Campen. 2007.</w:t>
      </w:r>
      <w:r>
        <w:t xml:space="preserve"> </w:t>
      </w:r>
      <w:hyperlink r:id="rId57">
        <w:r>
          <w:rPr>
            <w:rStyle w:val="Hyperlink"/>
          </w:rPr>
          <w:t xml:space="preserve">On the origin and evolutionary diversification of beetle horns</w:t>
        </w:r>
      </w:hyperlink>
      <w:r>
        <w:t xml:space="preserve">. Proc. Natl. Acad. Sci. 104:8661–8668. National Acad Sciences.</w:t>
      </w:r>
    </w:p>
    <w:bookmarkEnd w:id="58"/>
    <w:bookmarkStart w:id="60" w:name="ref-emlen2000"/>
    <w:p>
      <w:pPr>
        <w:pStyle w:val="Bibliography"/>
      </w:pPr>
      <w:r>
        <w:t xml:space="preserve">Emlen, D. J., and H. F. Nijhout. 2000.</w:t>
      </w:r>
      <w:r>
        <w:t xml:space="preserve"> </w:t>
      </w:r>
      <w:hyperlink r:id="rId59">
        <w:r>
          <w:rPr>
            <w:rStyle w:val="Hyperlink"/>
          </w:rPr>
          <w:t xml:space="preserve">The development and evolution of exaggerated morphologies in insects</w:t>
        </w:r>
      </w:hyperlink>
      <w:r>
        <w:t xml:space="preserve">. Annu, Rev, Entomol, 45:661–708.</w:t>
      </w:r>
    </w:p>
    <w:bookmarkEnd w:id="60"/>
    <w:bookmarkStart w:id="62" w:name="ref-frankino2005"/>
    <w:p>
      <w:pPr>
        <w:pStyle w:val="Bibliography"/>
      </w:pPr>
      <w:r>
        <w:t xml:space="preserve">Frankino, W. A., B. J. Zwaan, D. L. Stern, and P. M. Brakefield. 2005.</w:t>
      </w:r>
      <w:r>
        <w:t xml:space="preserve"> </w:t>
      </w:r>
      <w:hyperlink r:id="rId61">
        <w:r>
          <w:rPr>
            <w:rStyle w:val="Hyperlink"/>
          </w:rPr>
          <w:t xml:space="preserve">Natural selection and developmental constraints in the evolution of allometries</w:t>
        </w:r>
      </w:hyperlink>
      <w:r>
        <w:t xml:space="preserve">. Science 307:718–20.</w:t>
      </w:r>
    </w:p>
    <w:bookmarkEnd w:id="62"/>
    <w:bookmarkStart w:id="64" w:name="ref-gonzalez-miguens2020"/>
    <w:p>
      <w:pPr>
        <w:pStyle w:val="Bibliography"/>
      </w:pPr>
      <w:r>
        <w:t xml:space="preserve">González-Miguéns, R., E. Muñoz-Nozal, Y. Jiménez-Ruiz, P. Mas-Peinado, H. R. Ghanavi, and M. García-París. 2020.</w:t>
      </w:r>
      <w:r>
        <w:t xml:space="preserve"> </w:t>
      </w:r>
      <w:hyperlink r:id="rId63">
        <w:r>
          <w:rPr>
            <w:rStyle w:val="Hyperlink"/>
          </w:rPr>
          <w:t xml:space="preserve">Speciation patterns in the</w:t>
        </w:r>
        <w:r>
          <w:rPr>
            <w:rStyle w:val="Hyperlink"/>
          </w:rPr>
          <w:t xml:space="preserve"> </w:t>
        </w:r>
        <w:r>
          <w:rPr>
            <w:rStyle w:val="Hyperlink"/>
            <w:i/>
            <w:iCs/>
          </w:rPr>
          <w:t xml:space="preserve">Forficula</w:t>
        </w:r>
        <w:r>
          <w:rPr>
            <w:rStyle w:val="Hyperlink"/>
          </w:rPr>
          <w:t xml:space="preserve"> </w:t>
        </w:r>
        <w:r>
          <w:rPr>
            <w:rStyle w:val="Hyperlink"/>
            <w:i/>
            <w:iCs/>
          </w:rPr>
          <w:t xml:space="preserve">Auricularia</w:t>
        </w:r>
        <w:r>
          <w:rPr>
            <w:rStyle w:val="Hyperlink"/>
          </w:rPr>
          <w:t xml:space="preserve"> </w:t>
        </w:r>
        <w:r>
          <w:rPr>
            <w:rStyle w:val="Hyperlink"/>
          </w:rPr>
          <w:t xml:space="preserve">species complex: Cryptic and not so cryptic taxa across the western palaearctic region</w:t>
        </w:r>
      </w:hyperlink>
      <w:r>
        <w:t xml:space="preserve">. Zool. J. Linn. Soc. 190:788–823.</w:t>
      </w:r>
    </w:p>
    <w:bookmarkEnd w:id="64"/>
    <w:bookmarkStart w:id="66" w:name="ref-gould1966"/>
    <w:p>
      <w:pPr>
        <w:pStyle w:val="Bibliography"/>
      </w:pPr>
      <w:r>
        <w:t xml:space="preserve">Gould, S. J. 1966.</w:t>
      </w:r>
      <w:r>
        <w:t xml:space="preserve"> </w:t>
      </w:r>
      <w:hyperlink r:id="rId65">
        <w:r>
          <w:rPr>
            <w:rStyle w:val="Hyperlink"/>
          </w:rPr>
          <w:t xml:space="preserve">Allometry and size in ontogeny and phylogeny</w:t>
        </w:r>
      </w:hyperlink>
      <w:r>
        <w:t xml:space="preserve">. Biol Rev Camb Philos Soc 41:587–640.</w:t>
      </w:r>
    </w:p>
    <w:bookmarkEnd w:id="66"/>
    <w:bookmarkStart w:id="68" w:name="ref-gross1996"/>
    <w:p>
      <w:pPr>
        <w:pStyle w:val="Bibliography"/>
      </w:pPr>
      <w:r>
        <w:t xml:space="preserve">Gross, M. R. 1996.</w:t>
      </w:r>
      <w:r>
        <w:t xml:space="preserve"> </w:t>
      </w:r>
      <w:hyperlink r:id="rId67">
        <w:r>
          <w:rPr>
            <w:rStyle w:val="Hyperlink"/>
          </w:rPr>
          <w:t xml:space="preserve">Alternative reproductive strategies and tactics: Diversity within sexes</w:t>
        </w:r>
      </w:hyperlink>
      <w:r>
        <w:t xml:space="preserve">. Trends Ecol Evol 11:92–8. Elsevier.</w:t>
      </w:r>
    </w:p>
    <w:bookmarkEnd w:id="68"/>
    <w:bookmarkStart w:id="70" w:name="ref-hansen2008"/>
    <w:p>
      <w:pPr>
        <w:pStyle w:val="Bibliography"/>
      </w:pPr>
      <w:r>
        <w:t xml:space="preserve">Hansen, T. F., and D. Houle. 2008.</w:t>
      </w:r>
      <w:r>
        <w:t xml:space="preserve"> </w:t>
      </w:r>
      <w:hyperlink r:id="rId69">
        <w:r>
          <w:rPr>
            <w:rStyle w:val="Hyperlink"/>
          </w:rPr>
          <w:t xml:space="preserve">Measuring and comparing evolvability and constraint in multivariate characters</w:t>
        </w:r>
      </w:hyperlink>
      <w:r>
        <w:t xml:space="preserve">. J Evol Biol 21:1201–19.</w:t>
      </w:r>
    </w:p>
    <w:bookmarkEnd w:id="70"/>
    <w:bookmarkStart w:id="71" w:name="ref-huxley1932"/>
    <w:p>
      <w:pPr>
        <w:pStyle w:val="Bibliography"/>
      </w:pPr>
      <w:r>
        <w:t xml:space="preserve">Huxley, J. 1932. Problems of relative growth.</w:t>
      </w:r>
    </w:p>
    <w:bookmarkEnd w:id="71"/>
    <w:bookmarkStart w:id="73" w:name="ref-kamimura2014"/>
    <w:p>
      <w:pPr>
        <w:pStyle w:val="Bibliography"/>
      </w:pPr>
      <w:r>
        <w:t xml:space="preserve">Kamimura, Y. 2014.</w:t>
      </w:r>
      <w:r>
        <w:t xml:space="preserve"> </w:t>
      </w:r>
      <w:hyperlink r:id="rId72">
        <w:r>
          <w:rPr>
            <w:rStyle w:val="Hyperlink"/>
          </w:rPr>
          <w:t xml:space="preserve">Pre- and postcopulatory sexual selection and the evolution of sexually dimorphic traits in earwigs (</w:t>
        </w:r>
        <w:r>
          <w:rPr>
            <w:rStyle w:val="Hyperlink"/>
          </w:rPr>
          <w:t xml:space="preserve">ermaptera)</w:t>
        </w:r>
      </w:hyperlink>
      <w:r>
        <w:t xml:space="preserve">. Entomol. Sci. 17:139–166. Wiley.</w:t>
      </w:r>
    </w:p>
    <w:bookmarkEnd w:id="73"/>
    <w:bookmarkStart w:id="75" w:name="ref-kelly2005a"/>
    <w:p>
      <w:pPr>
        <w:pStyle w:val="Bibliography"/>
      </w:pPr>
      <w:r>
        <w:t xml:space="preserve">Kelly, C. D. 2005.</w:t>
      </w:r>
      <w:r>
        <w:t xml:space="preserve"> </w:t>
      </w:r>
      <w:hyperlink r:id="rId74">
        <w:r>
          <w:rPr>
            <w:rStyle w:val="Hyperlink"/>
          </w:rPr>
          <w:t xml:space="preserve">Allometry and sexual selection of</w:t>
        </w:r>
        <w:r>
          <w:rPr>
            <w:rStyle w:val="Hyperlink"/>
          </w:rPr>
          <w:t xml:space="preserve"> </w:t>
        </w:r>
        <w:r>
          <w:rPr>
            <w:rStyle w:val="Hyperlink"/>
          </w:rPr>
          <w:t xml:space="preserve">Male</w:t>
        </w:r>
        <w:r>
          <w:rPr>
            <w:rStyle w:val="Hyperlink"/>
          </w:rPr>
          <w:t xml:space="preserve"> </w:t>
        </w:r>
        <w:r>
          <w:rPr>
            <w:rStyle w:val="Hyperlink"/>
          </w:rPr>
          <w:t xml:space="preserve">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hyperlink>
      <w:r>
        <w:t xml:space="preserve">. Behav. Ecol. 16:145–152. Oxford University Press (OUP).</w:t>
      </w:r>
    </w:p>
    <w:bookmarkEnd w:id="75"/>
    <w:bookmarkStart w:id="77" w:name="ref-kelly2026"/>
    <w:p>
      <w:pPr>
        <w:pStyle w:val="Bibliography"/>
      </w:pPr>
      <w:r>
        <w:t xml:space="preserve">Kelly, C. D. 2026.</w:t>
      </w:r>
      <w:r>
        <w:t xml:space="preserve"> </w:t>
      </w:r>
      <w:hyperlink r:id="rId76">
        <w:r>
          <w:rPr>
            <w:rStyle w:val="Hyperlink"/>
          </w:rPr>
          <w:t xml:space="preserve">Can the form of sexual selection explain patterns of static weapon allometry expressed by alternative mating morphotypes?</w:t>
        </w:r>
      </w:hyperlink>
      <w:r>
        <w:t xml:space="preserve"> Evolution 80:191–201.</w:t>
      </w:r>
    </w:p>
    <w:bookmarkEnd w:id="77"/>
    <w:bookmarkStart w:id="79" w:name="ref-klingenberg2008"/>
    <w:p>
      <w:pPr>
        <w:pStyle w:val="Bibliography"/>
      </w:pPr>
      <w:r>
        <w:t xml:space="preserve">Klingenberg, C. P. 2008.</w:t>
      </w:r>
      <w:r>
        <w:t xml:space="preserve"> </w:t>
      </w:r>
      <w:hyperlink r:id="rId78">
        <w:r>
          <w:rPr>
            <w:rStyle w:val="Hyperlink"/>
          </w:rPr>
          <w:t xml:space="preserve">Morphological integration and developmental modularity</w:t>
        </w:r>
      </w:hyperlink>
      <w:r>
        <w:t xml:space="preserve">. Annu. Rev. Ecol. Evol. Syst. 39:115–132. Annual Reviews.</w:t>
      </w:r>
    </w:p>
    <w:bookmarkEnd w:id="79"/>
    <w:bookmarkStart w:id="81" w:name="ref-kochensparger2024"/>
    <w:p>
      <w:pPr>
        <w:pStyle w:val="Bibliography"/>
      </w:pPr>
      <w:r>
        <w:t xml:space="preserve">Kochensparger, S. K., C. J. Painting, B. A. Buzatto, and E. L. McCullough. 2024.</w:t>
      </w:r>
      <w:r>
        <w:t xml:space="preserve"> </w:t>
      </w:r>
      <w:hyperlink r:id="rId80">
        <w:r>
          <w:rPr>
            <w:rStyle w:val="Hyperlink"/>
          </w:rPr>
          <w:t xml:space="preserve">Are weapon allometries steeper in major or minor males?</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Behav. Ecol. 35:1–9. Oxford University Press (OUP).</w:t>
      </w:r>
    </w:p>
    <w:bookmarkEnd w:id="81"/>
    <w:bookmarkStart w:id="83" w:name="ref-kodric-brown2006"/>
    <w:p>
      <w:pPr>
        <w:pStyle w:val="Bibliography"/>
      </w:pPr>
      <w:r>
        <w:t xml:space="preserve">Kodric-Brown, A., R. M. Sibly, and J. H. Brown. 2006.</w:t>
      </w:r>
      <w:r>
        <w:t xml:space="preserve"> </w:t>
      </w:r>
      <w:hyperlink r:id="rId82">
        <w:r>
          <w:rPr>
            <w:rStyle w:val="Hyperlink"/>
          </w:rPr>
          <w:t xml:space="preserve">The allometry of ornaments and weapons</w:t>
        </w:r>
      </w:hyperlink>
      <w:r>
        <w:t xml:space="preserve">. Proc. Natl. Acad. Sci. 103:8733–8738. National Acad Sciences.</w:t>
      </w:r>
    </w:p>
    <w:bookmarkEnd w:id="83"/>
    <w:bookmarkStart w:id="84" w:name="ref-lande1980"/>
    <w:p>
      <w:pPr>
        <w:pStyle w:val="Bibliography"/>
      </w:pPr>
      <w:r>
        <w:t xml:space="preserve">Lande, R. 1980. Sexual dimorphism, sexual selection, and adaptation in polygenic characters. Evolution 292–305.</w:t>
      </w:r>
    </w:p>
    <w:bookmarkEnd w:id="84"/>
    <w:bookmarkStart w:id="85" w:name="ref-lenth2019package"/>
    <w:p>
      <w:pPr>
        <w:pStyle w:val="Bibliography"/>
      </w:pPr>
      <w:r>
        <w:t xml:space="preserve">Lenth, R., H. Singmann, J. Love, P. Buerkner, and M. Herve. 2019. Package</w:t>
      </w:r>
      <w:r>
        <w:t xml:space="preserve"> </w:t>
      </w:r>
      <w:r>
        <w:t xml:space="preserve">“emmeans”</w:t>
      </w:r>
      <w:r>
        <w:t xml:space="preserve">:</w:t>
      </w:r>
      <w:r>
        <w:t xml:space="preserve"> </w:t>
      </w:r>
      <w:r>
        <w:t xml:space="preserve">Stimated marginal means, aka least-squares means.</w:t>
      </w:r>
    </w:p>
    <w:bookmarkEnd w:id="85"/>
    <w:bookmarkStart w:id="87" w:name="ref-matsuzawa2025"/>
    <w:p>
      <w:pPr>
        <w:pStyle w:val="Bibliography"/>
      </w:pPr>
      <w:r>
        <w:t xml:space="preserve">Matsuzawa, T., and J. Konuma. 2025.</w:t>
      </w:r>
      <w:r>
        <w:t xml:space="preserve"> </w:t>
      </w:r>
      <w:hyperlink r:id="rId86">
        <w:r>
          <w:rPr>
            <w:rStyle w:val="Hyperlink"/>
          </w:rPr>
          <w:t xml:space="preserve">Positive allometry in the forceps of the female earwig</w:t>
        </w:r>
        <w:r>
          <w:rPr>
            <w:rStyle w:val="Hyperlink"/>
          </w:rPr>
          <w:t xml:space="preserve"> </w:t>
        </w:r>
        <w:r>
          <w:rPr>
            <w:rStyle w:val="Hyperlink"/>
            <w:i/>
            <w:iCs/>
          </w:rPr>
          <w:t xml:space="preserve">Anisolabis</w:t>
        </w:r>
        <w:r>
          <w:rPr>
            <w:rStyle w:val="Hyperlink"/>
          </w:rPr>
          <w:t xml:space="preserve"> </w:t>
        </w:r>
        <w:r>
          <w:rPr>
            <w:rStyle w:val="Hyperlink"/>
            <w:i/>
            <w:iCs/>
          </w:rPr>
          <w:t xml:space="preserve">Maritima</w:t>
        </w:r>
        <w:r>
          <w:rPr>
            <w:rStyle w:val="Hyperlink"/>
          </w:rPr>
          <w:t xml:space="preserve"> </w:t>
        </w:r>
        <w:r>
          <w:rPr>
            <w:rStyle w:val="Hyperlink"/>
          </w:rPr>
          <w:t xml:space="preserve">(dermaptera: anisolabididae)</w:t>
        </w:r>
      </w:hyperlink>
      <w:r>
        <w:t xml:space="preserve">. Biol. J. Linn. Soc. 145:blaf031.</w:t>
      </w:r>
    </w:p>
    <w:bookmarkEnd w:id="87"/>
    <w:bookmarkStart w:id="89" w:name="ref-meunier2024"/>
    <w:p>
      <w:pPr>
        <w:pStyle w:val="Bibliography"/>
      </w:pPr>
      <w:r>
        <w:t xml:space="preserve">Meunier, J. 2024.</w:t>
      </w:r>
      <w:r>
        <w:t xml:space="preserve"> </w:t>
      </w:r>
      <w:hyperlink r:id="rId88">
        <w:r>
          <w:rPr>
            <w:rStyle w:val="Hyperlink"/>
          </w:rPr>
          <w:t xml:space="preserve">The biology and social life of earwigs (</w:t>
        </w:r>
        <w:r>
          <w:rPr>
            <w:rStyle w:val="Hyperlink"/>
          </w:rPr>
          <w:t xml:space="preserve">Dermaptera</w:t>
        </w:r>
        <w:r>
          <w:rPr>
            <w:rStyle w:val="Hyperlink"/>
          </w:rPr>
          <w:t xml:space="preserve">)</w:t>
        </w:r>
      </w:hyperlink>
      <w:r>
        <w:t xml:space="preserve">. Annu. Rev. Entomol. 69:259–276. Annual Reviews.</w:t>
      </w:r>
    </w:p>
    <w:bookmarkEnd w:id="89"/>
    <w:bookmarkStart w:id="91" w:name="ref-nijhout2012"/>
    <w:p>
      <w:pPr>
        <w:pStyle w:val="Bibliography"/>
      </w:pPr>
      <w:r>
        <w:t xml:space="preserve">Nijhout, H. F., and R. Z. German. 2012.</w:t>
      </w:r>
      <w:r>
        <w:t xml:space="preserve"> </w:t>
      </w:r>
      <w:hyperlink r:id="rId90">
        <w:r>
          <w:rPr>
            <w:rStyle w:val="Hyperlink"/>
          </w:rPr>
          <w:t xml:space="preserve">Developmental causes of allometry: New models and implications for phenotypic plasticity and evolution</w:t>
        </w:r>
      </w:hyperlink>
      <w:r>
        <w:t xml:space="preserve">. Integr Comp Biol 52:43–52.</w:t>
      </w:r>
    </w:p>
    <w:bookmarkEnd w:id="91"/>
    <w:bookmarkStart w:id="92" w:name="ref-oliveira2008"/>
    <w:p>
      <w:pPr>
        <w:pStyle w:val="Bibliography"/>
      </w:pPr>
      <w:r>
        <w:t xml:space="preserve">Oliveira, R. F., M. Taborsky, and H. J. Brockmann. 2008. Alternative</w:t>
      </w:r>
      <w:r>
        <w:t xml:space="preserve"> </w:t>
      </w:r>
      <w:r>
        <w:t xml:space="preserve">Reproductive Tactics</w:t>
      </w:r>
      <w:r>
        <w:t xml:space="preserve">. Cambridge University Press.</w:t>
      </w:r>
    </w:p>
    <w:bookmarkEnd w:id="92"/>
    <w:bookmarkStart w:id="93" w:name="ref-ozkansubmitted"/>
    <w:p>
      <w:pPr>
        <w:pStyle w:val="Bibliography"/>
      </w:pPr>
      <w:r>
        <w:t xml:space="preserve">Ozkan, C., and C. D. Kelly. submitted. Hierarchical structuring of weapon allometry in the</w:t>
      </w:r>
      <w:r>
        <w:t xml:space="preserve"> </w:t>
      </w:r>
      <w:r>
        <w:t xml:space="preserve">European</w:t>
      </w:r>
      <w:r>
        <w:t xml:space="preserve"> </w:t>
      </w:r>
      <w:r>
        <w:t xml:space="preserve">earwig and its evolutionary consequences. Evolution.</w:t>
      </w:r>
    </w:p>
    <w:bookmarkEnd w:id="93"/>
    <w:bookmarkStart w:id="95" w:name="ref-painting2024"/>
    <w:p>
      <w:pPr>
        <w:pStyle w:val="Bibliography"/>
      </w:pPr>
      <w:r>
        <w:t xml:space="preserve">Painting, C. J., M. R. E. Symonds, and G. I. Holwell. 2024.</w:t>
      </w:r>
      <w:r>
        <w:t xml:space="preserve"> </w:t>
      </w:r>
      <w:hyperlink r:id="rId94">
        <w:r>
          <w:rPr>
            <w:rStyle w:val="Hyperlink"/>
          </w:rPr>
          <w:t xml:space="preserve">The evolution of positive allometry and exaggerated traits in a diverse beetle clade</w:t>
        </w:r>
      </w:hyperlink>
      <w:r>
        <w:t xml:space="preserve">. Funct. Ecol. 38:1265–1283. Wiley.</w:t>
      </w:r>
    </w:p>
    <w:bookmarkEnd w:id="95"/>
    <w:bookmarkStart w:id="97" w:name="ref-pelabon2014"/>
    <w:p>
      <w:pPr>
        <w:pStyle w:val="Bibliography"/>
      </w:pPr>
      <w:r>
        <w:t xml:space="preserve">Pélabon, C., C. Firmat, G. H. Bolstad, K. L. Voje, D. Houle, J. Cassara, A. L. Rouzic, and T. F. Hansen. 2014.</w:t>
      </w:r>
      <w:r>
        <w:t xml:space="preserve"> </w:t>
      </w:r>
      <w:hyperlink r:id="rId96">
        <w:r>
          <w:rPr>
            <w:rStyle w:val="Hyperlink"/>
          </w:rPr>
          <w:t xml:space="preserve">Evolution of morphological allometry</w:t>
        </w:r>
      </w:hyperlink>
      <w:r>
        <w:t xml:space="preserve">. Ann N Acad Sci 1320:58–75.</w:t>
      </w:r>
    </w:p>
    <w:bookmarkEnd w:id="97"/>
    <w:bookmarkStart w:id="99" w:name="ref-prates2013"/>
    <w:p>
      <w:pPr>
        <w:pStyle w:val="Bibliography"/>
      </w:pPr>
      <w:r>
        <w:t xml:space="preserve">Prates, M. O., C. R. B. Cabral, and V. H. Lachos. 2013.</w:t>
      </w:r>
      <w:r>
        <w:t xml:space="preserve"> </w:t>
      </w:r>
      <w:hyperlink r:id="rId98">
        <w:r>
          <w:rPr>
            <w:rStyle w:val="Hyperlink"/>
          </w:rPr>
          <w:t xml:space="preserve">Mixsmsn:</w:t>
        </w:r>
        <w:r>
          <w:rPr>
            <w:rStyle w:val="Hyperlink"/>
          </w:rPr>
          <w:t xml:space="preserve"> </w:t>
        </w:r>
        <w:r>
          <w:rPr>
            <w:rStyle w:val="Hyperlink"/>
          </w:rPr>
          <w:t xml:space="preserve">Itting finite mixture of scale mixture of skew-normal distributions</w:t>
        </w:r>
      </w:hyperlink>
      <w:r>
        <w:t xml:space="preserve">. J. Stat. Softw. 54:96–114. Foundation for Open Access Statistic.</w:t>
      </w:r>
    </w:p>
    <w:bookmarkEnd w:id="99"/>
    <w:bookmarkStart w:id="100"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100"/>
    <w:bookmarkStart w:id="102" w:name="ref-rowe1996"/>
    <w:p>
      <w:pPr>
        <w:pStyle w:val="Bibliography"/>
      </w:pPr>
      <w:r>
        <w:t xml:space="preserve">Rowe, L., and D. Houle. 1996.</w:t>
      </w:r>
      <w:r>
        <w:t xml:space="preserve"> </w:t>
      </w:r>
      <w:hyperlink r:id="rId101">
        <w:r>
          <w:rPr>
            <w:rStyle w:val="Hyperlink"/>
          </w:rPr>
          <w:t xml:space="preserve">The lek paradox and the capture of genetic variance by condition dependent traits</w:t>
        </w:r>
      </w:hyperlink>
      <w:r>
        <w:t xml:space="preserve">. Proc. R. Soc. Lond. B Biol. Sci. 263:1415–1421. The Royal Society.</w:t>
      </w:r>
    </w:p>
    <w:bookmarkEnd w:id="102"/>
    <w:bookmarkStart w:id="104" w:name="ref-schindelin2012"/>
    <w:p>
      <w:pPr>
        <w:pStyle w:val="Bibliography"/>
      </w:pPr>
      <w:r>
        <w:t xml:space="preserve">Schindelin, J., I. Arganda-Carreras, E. Frise, V. Kaynig, M. Longair, T. Pietzsch, S. Preibisch, C. Rueden, S. Saalfeld, B. Schmid, J.-Y. Tinevez, D. J. White, V. Hartenstein, K. Eliceiri, P. Tomancak, and A. Cardona. 2012.</w:t>
      </w:r>
      <w:r>
        <w:t xml:space="preserve"> </w:t>
      </w:r>
      <w:hyperlink r:id="rId103">
        <w:r>
          <w:rPr>
            <w:rStyle w:val="Hyperlink"/>
          </w:rPr>
          <w:t xml:space="preserve">Fiji: An open-source platform for biological-image analysis.</w:t>
        </w:r>
      </w:hyperlink>
      <w:r>
        <w:t xml:space="preserve"> Nature Methods 9:676–82.</w:t>
      </w:r>
    </w:p>
    <w:bookmarkEnd w:id="104"/>
    <w:bookmarkStart w:id="106" w:name="ref-shingleton2013"/>
    <w:p>
      <w:pPr>
        <w:pStyle w:val="Bibliography"/>
      </w:pPr>
      <w:r>
        <w:t xml:space="preserve">Shingleton, A. W., and W. A. Frankino. 2013.</w:t>
      </w:r>
      <w:r>
        <w:t xml:space="preserve"> </w:t>
      </w:r>
      <w:hyperlink r:id="rId105">
        <w:r>
          <w:rPr>
            <w:rStyle w:val="Hyperlink"/>
          </w:rPr>
          <w:t xml:space="preserve">New perspectives on the evolution of exaggerated traits</w:t>
        </w:r>
      </w:hyperlink>
      <w:r>
        <w:t xml:space="preserve">. Bioessays 35:100–7.</w:t>
      </w:r>
    </w:p>
    <w:bookmarkEnd w:id="106"/>
    <w:bookmarkStart w:id="108" w:name="ref-shingleton2007"/>
    <w:p>
      <w:pPr>
        <w:pStyle w:val="Bibliography"/>
      </w:pPr>
      <w:r>
        <w:t xml:space="preserve">Shingleton, A. W., W. A. Frankino, T. Flatt, H. F. Nijhout, and D. J. Emlen. 2007.</w:t>
      </w:r>
      <w:r>
        <w:t xml:space="preserve"> </w:t>
      </w:r>
      <w:hyperlink r:id="rId107">
        <w:r>
          <w:rPr>
            <w:rStyle w:val="Hyperlink"/>
          </w:rPr>
          <w:t xml:space="preserve">Size and shape: The developmental regulation of static allometry in insects</w:t>
        </w:r>
      </w:hyperlink>
      <w:r>
        <w:t xml:space="preserve">. Bioessays 29:536–48.</w:t>
      </w:r>
    </w:p>
    <w:bookmarkEnd w:id="108"/>
    <w:bookmarkStart w:id="109" w:name="ref-shuster2003"/>
    <w:p>
      <w:pPr>
        <w:pStyle w:val="Bibliography"/>
      </w:pPr>
      <w:r>
        <w:t xml:space="preserve">Shuster, S. M., and M. J. Wade. 2003. Mating</w:t>
      </w:r>
      <w:r>
        <w:t xml:space="preserve"> </w:t>
      </w:r>
      <w:r>
        <w:t xml:space="preserve">Systems</w:t>
      </w:r>
      <w:r>
        <w:t xml:space="preserve"> </w:t>
      </w:r>
      <w:r>
        <w:t xml:space="preserve">and</w:t>
      </w:r>
      <w:r>
        <w:t xml:space="preserve"> </w:t>
      </w:r>
      <w:r>
        <w:t xml:space="preserve">Strategies</w:t>
      </w:r>
      <w:r>
        <w:t xml:space="preserve">. Princeton University Press.</w:t>
      </w:r>
    </w:p>
    <w:bookmarkEnd w:id="109"/>
    <w:bookmarkStart w:id="111" w:name="ref-simmons1996"/>
    <w:p>
      <w:pPr>
        <w:pStyle w:val="Bibliography"/>
      </w:pPr>
      <w:r>
        <w:t xml:space="preserve">Simmons, L. W., and J. L. Tomkins. 1996.</w:t>
      </w:r>
      <w:r>
        <w:t xml:space="preserve"> </w:t>
      </w:r>
      <w:hyperlink r:id="rId110">
        <w:r>
          <w:rPr>
            <w:rStyle w:val="Hyperlink"/>
          </w:rPr>
          <w:t xml:space="preserve">Sexual selection and the allometry of earwig forceps</w:t>
        </w:r>
      </w:hyperlink>
      <w:r>
        <w:t xml:space="preserve">. Evol. Ecol. 10:97–104. Springer.</w:t>
      </w:r>
    </w:p>
    <w:bookmarkEnd w:id="111"/>
    <w:bookmarkStart w:id="113" w:name="ref-tomkins1999"/>
    <w:p>
      <w:pPr>
        <w:pStyle w:val="Bibliography"/>
      </w:pPr>
      <w:r>
        <w:t xml:space="preserve">Tomkins, J. L. 1999.</w:t>
      </w:r>
      <w:r>
        <w:t xml:space="preserve"> </w:t>
      </w:r>
      <w:hyperlink r:id="rId112">
        <w:r>
          <w:rPr>
            <w:rStyle w:val="Hyperlink"/>
          </w:rPr>
          <w:t xml:space="preserve">Environmental and genetic determinants of the</w:t>
        </w:r>
        <w:r>
          <w:rPr>
            <w:rStyle w:val="Hyperlink"/>
          </w:rPr>
          <w:t xml:space="preserve"> </w:t>
        </w:r>
        <w:r>
          <w:rPr>
            <w:rStyle w:val="Hyperlink"/>
          </w:rPr>
          <w:t xml:space="preserve">Male</w:t>
        </w:r>
        <w:r>
          <w:rPr>
            <w:rStyle w:val="Hyperlink"/>
          </w:rPr>
          <w:t xml:space="preserve"> </w:t>
        </w:r>
        <w:r>
          <w:rPr>
            <w:rStyle w:val="Hyperlink"/>
          </w:rPr>
          <w:t xml:space="preserve">forceps length dimorphism in the</w:t>
        </w:r>
        <w:r>
          <w:rPr>
            <w:rStyle w:val="Hyperlink"/>
          </w:rPr>
          <w:t xml:space="preserve"> </w:t>
        </w:r>
        <w:r>
          <w:rPr>
            <w:rStyle w:val="Hyperlink"/>
          </w:rPr>
          <w:t xml:space="preserve">European</w:t>
        </w:r>
        <w:r>
          <w:rPr>
            <w:rStyle w:val="Hyperlink"/>
          </w:rPr>
          <w:t xml:space="preserve"> </w:t>
        </w:r>
        <w:r>
          <w:rPr>
            <w:rStyle w:val="Hyperlink"/>
          </w:rPr>
          <w:t xml:space="preserve">earwig</w:t>
        </w:r>
        <w:r>
          <w:rPr>
            <w:rStyle w:val="Hyperlink"/>
          </w:rPr>
          <w:t xml:space="preserve"> </w:t>
        </w:r>
        <w:r>
          <w:rPr>
            <w:rStyle w:val="Hyperlink"/>
          </w:rPr>
          <w:t xml:space="preserve"> </w:t>
        </w:r>
        <w:r>
          <w:rPr>
            <w:rStyle w:val="Hyperlink"/>
          </w:rPr>
          <w:t xml:space="preserve">L</w:t>
        </w:r>
        <w:r>
          <w:rPr>
            <w:rStyle w:val="Hyperlink"/>
          </w:rPr>
          <w:t xml:space="preserve">.</w:t>
        </w:r>
      </w:hyperlink>
      <w:r>
        <w:t xml:space="preserve"> Behav. Ecol. Sociobiol. 47:1–8. Springer.</w:t>
      </w:r>
    </w:p>
    <w:bookmarkEnd w:id="113"/>
    <w:bookmarkStart w:id="115" w:name="ref-tomkins2004a"/>
    <w:p>
      <w:pPr>
        <w:pStyle w:val="Bibliography"/>
      </w:pPr>
      <w:r>
        <w:t xml:space="preserve">Tomkins, J. L., and G. S. Brown. 2004.</w:t>
      </w:r>
      <w:r>
        <w:t xml:space="preserve"> </w:t>
      </w:r>
      <w:hyperlink r:id="rId114">
        <w:r>
          <w:rPr>
            <w:rStyle w:val="Hyperlink"/>
          </w:rPr>
          <w:t xml:space="preserve">Population density drives the local evolution of a threshold dimorphism</w:t>
        </w:r>
      </w:hyperlink>
      <w:r>
        <w:t xml:space="preserve">. Nature 431:1099–103.</w:t>
      </w:r>
    </w:p>
    <w:bookmarkEnd w:id="115"/>
    <w:bookmarkStart w:id="117" w:name="ref-tomkins2005a"/>
    <w:p>
      <w:pPr>
        <w:pStyle w:val="Bibliography"/>
      </w:pPr>
      <w:r>
        <w:t xml:space="preserve">Tomkins, J. L., J. S. Kotiaho, and N. R. LeBas. 2005.</w:t>
      </w:r>
      <w:r>
        <w:t xml:space="preserve"> </w:t>
      </w:r>
      <w:hyperlink r:id="rId116">
        <w:r>
          <w:rPr>
            <w:rStyle w:val="Hyperlink"/>
          </w:rPr>
          <w:t xml:space="preserve">Matters of scale: Positive allometry and the evolution of</w:t>
        </w:r>
        <w:r>
          <w:rPr>
            <w:rStyle w:val="Hyperlink"/>
          </w:rPr>
          <w:t xml:space="preserve"> </w:t>
        </w:r>
        <w:r>
          <w:rPr>
            <w:rStyle w:val="Hyperlink"/>
          </w:rPr>
          <w:t xml:space="preserve">Male</w:t>
        </w:r>
        <w:r>
          <w:rPr>
            <w:rStyle w:val="Hyperlink"/>
          </w:rPr>
          <w:t xml:space="preserve"> </w:t>
        </w:r>
        <w:r>
          <w:rPr>
            <w:rStyle w:val="Hyperlink"/>
          </w:rPr>
          <w:t xml:space="preserve">dimorphisms</w:t>
        </w:r>
      </w:hyperlink>
      <w:r>
        <w:t xml:space="preserve">. Am. Nat. 165:389–402. The University of Chicago Press.</w:t>
      </w:r>
    </w:p>
    <w:bookmarkEnd w:id="117"/>
    <w:bookmarkStart w:id="119" w:name="ref-vanlieshout2009"/>
    <w:p>
      <w:pPr>
        <w:pStyle w:val="Bibliography"/>
      </w:pPr>
      <w:r>
        <w:t xml:space="preserve">van Lieshout, E., and M. A. Elgar. 2009.</w:t>
      </w:r>
      <w:r>
        <w:t xml:space="preserve"> </w:t>
      </w:r>
      <w:hyperlink r:id="rId118">
        <w:r>
          <w:rPr>
            <w:rStyle w:val="Hyperlink"/>
          </w:rPr>
          <w:t xml:space="preserve">Armament under direct sexual selection does not exhibit positive allometry in an earwig</w:t>
        </w:r>
      </w:hyperlink>
      <w:r>
        <w:t xml:space="preserve">. Behav. Ecol. 20:258–264. Oxford University Press (OUP).</w:t>
      </w:r>
    </w:p>
    <w:bookmarkEnd w:id="119"/>
    <w:bookmarkStart w:id="121" w:name="ref-vehtari2017"/>
    <w:p>
      <w:pPr>
        <w:pStyle w:val="Bibliography"/>
      </w:pPr>
      <w:r>
        <w:t xml:space="preserve">Vehtari, A., A. Gelman, and J. Gabry. 2017.</w:t>
      </w:r>
      <w:r>
        <w:t xml:space="preserve"> </w:t>
      </w:r>
      <w:hyperlink r:id="rId120">
        <w:r>
          <w:rPr>
            <w:rStyle w:val="Hyperlink"/>
          </w:rPr>
          <w:t xml:space="preserve">Practical</w:t>
        </w:r>
        <w:r>
          <w:rPr>
            <w:rStyle w:val="Hyperlink"/>
          </w:rPr>
          <w:t xml:space="preserve"> </w:t>
        </w:r>
        <w:r>
          <w:rPr>
            <w:rStyle w:val="Hyperlink"/>
          </w:rPr>
          <w:t xml:space="preserve">ayesian model evaluation using leave-one-out cross-validation and</w:t>
        </w:r>
        <w:r>
          <w:rPr>
            <w:rStyle w:val="Hyperlink"/>
          </w:rPr>
          <w:t xml:space="preserve"> </w:t>
        </w:r>
      </w:hyperlink>
      <w:r>
        <w:t xml:space="preserve">. Stat. Comput. 27:1413–1432.</w:t>
      </w:r>
      <w:r>
        <w:t xml:space="preserve"> </w:t>
      </w:r>
      <w:r>
        <w:t xml:space="preserve">Springer Science and Business Media LLC</w:t>
      </w:r>
      <w:r>
        <w:t xml:space="preserve">.</w:t>
      </w:r>
    </w:p>
    <w:bookmarkEnd w:id="121"/>
    <w:bookmarkStart w:id="123" w:name="ref-vehtari2021"/>
    <w:p>
      <w:pPr>
        <w:pStyle w:val="Bibliography"/>
      </w:pPr>
      <w:r>
        <w:t xml:space="preserve">Vehtari, A., A. Gelman, D. Simpson, B. Carpenter, and P.-C. Bürkner. 2021.</w:t>
      </w:r>
      <w:r>
        <w:t xml:space="preserve"> </w:t>
      </w:r>
      <w:hyperlink r:id="rId122">
        <w:r>
          <w:rPr>
            <w:rStyle w:val="Hyperlink"/>
          </w:rPr>
          <w:t xml:space="preserve">Rank-</w:t>
        </w:r>
        <w:r>
          <w:rPr>
            <w:rStyle w:val="Hyperlink"/>
          </w:rPr>
          <w:t xml:space="preserve">Normalization</w:t>
        </w:r>
        <w:r>
          <w:rPr>
            <w:rStyle w:val="Hyperlink"/>
          </w:rPr>
          <w:t xml:space="preserve">,</w:t>
        </w:r>
        <w:r>
          <w:rPr>
            <w:rStyle w:val="Hyperlink"/>
          </w:rPr>
          <w:t xml:space="preserve"> </w:t>
        </w:r>
        <w:r>
          <w:rPr>
            <w:rStyle w:val="Hyperlink"/>
          </w:rPr>
          <w:t xml:space="preserve">Folding</w:t>
        </w:r>
        <w:r>
          <w:rPr>
            <w:rStyle w:val="Hyperlink"/>
          </w:rPr>
          <w:t xml:space="preserve">, and</w:t>
        </w:r>
        <w:r>
          <w:rPr>
            <w:rStyle w:val="Hyperlink"/>
          </w:rPr>
          <w:t xml:space="preserve"> </w:t>
        </w:r>
        <w:r>
          <w:rPr>
            <w:rStyle w:val="Hyperlink"/>
          </w:rPr>
          <w:t xml:space="preserve">Localization</w:t>
        </w:r>
        <w:r>
          <w:rPr>
            <w:rStyle w:val="Hyperlink"/>
          </w:rPr>
          <w:t xml:space="preserve">:</w:t>
        </w:r>
        <w:r>
          <w:rPr>
            <w:rStyle w:val="Hyperlink"/>
          </w:rPr>
          <w:t xml:space="preserve"> </w:t>
        </w:r>
        <w:r>
          <w:rPr>
            <w:rStyle w:val="Hyperlink"/>
          </w:rPr>
          <w:t xml:space="preserve">An Improved R^</w:t>
        </w:r>
        <w:r>
          <w:rPr>
            <w:rStyle w:val="Hyperlink"/>
          </w:rPr>
          <w:t xml:space="preserve"> </w:t>
        </w:r>
        <w:r>
          <w:rPr>
            <w:rStyle w:val="Hyperlink"/>
          </w:rPr>
          <w:t xml:space="preserve">for</w:t>
        </w:r>
        <w:r>
          <w:rPr>
            <w:rStyle w:val="Hyperlink"/>
          </w:rPr>
          <w:t xml:space="preserve"> </w:t>
        </w:r>
        <w:r>
          <w:rPr>
            <w:rStyle w:val="Hyperlink"/>
          </w:rPr>
          <w:t xml:space="preserve">Assessing Convergence</w:t>
        </w:r>
        <w:r>
          <w:rPr>
            <w:rStyle w:val="Hyperlink"/>
          </w:rPr>
          <w:t xml:space="preserve"> </w:t>
        </w:r>
        <w:r>
          <w:rPr>
            <w:rStyle w:val="Hyperlink"/>
          </w:rPr>
          <w:t xml:space="preserve">of</w:t>
        </w:r>
        <w:r>
          <w:rPr>
            <w:rStyle w:val="Hyperlink"/>
          </w:rPr>
          <w:t xml:space="preserve"> </w:t>
        </w:r>
        <w:r>
          <w:rPr>
            <w:rStyle w:val="Hyperlink"/>
          </w:rPr>
          <w:t xml:space="preserve">MCMC</w:t>
        </w:r>
        <w:r>
          <w:rPr>
            <w:rStyle w:val="Hyperlink"/>
          </w:rPr>
          <w:t xml:space="preserve"> </w:t>
        </w:r>
        <w:r>
          <w:rPr>
            <w:rStyle w:val="Hyperlink"/>
          </w:rPr>
          <w:t xml:space="preserve">(with</w:t>
        </w:r>
        <w:r>
          <w:rPr>
            <w:rStyle w:val="Hyperlink"/>
          </w:rPr>
          <w:t xml:space="preserve"> </w:t>
        </w:r>
        <w:r>
          <w:rPr>
            <w:rStyle w:val="Hyperlink"/>
          </w:rPr>
          <w:t xml:space="preserve">Discussion</w:t>
        </w:r>
        <w:r>
          <w:rPr>
            <w:rStyle w:val="Hyperlink"/>
          </w:rPr>
          <w:t xml:space="preserve">)</w:t>
        </w:r>
      </w:hyperlink>
      <w:r>
        <w:t xml:space="preserve">. Bayesian Anal. 16.</w:t>
      </w:r>
    </w:p>
    <w:bookmarkEnd w:id="123"/>
    <w:bookmarkStart w:id="125" w:name="ref-voje2016"/>
    <w:p>
      <w:pPr>
        <w:pStyle w:val="Bibliography"/>
      </w:pPr>
      <w:r>
        <w:t xml:space="preserve">Voje, K. L. 2016.</w:t>
      </w:r>
      <w:r>
        <w:t xml:space="preserve"> </w:t>
      </w:r>
      <w:hyperlink r:id="rId124">
        <w:r>
          <w:rPr>
            <w:rStyle w:val="Hyperlink"/>
          </w:rPr>
          <w:t xml:space="preserve">Scaling of morphological characters across trait type, sex, and environment: A meta-analysis of static allometries</w:t>
        </w:r>
      </w:hyperlink>
      <w:r>
        <w:t xml:space="preserve">. Am. Nat. 187:89–98.</w:t>
      </w:r>
    </w:p>
    <w:bookmarkEnd w:id="125"/>
    <w:bookmarkEnd w:id="126"/>
    <w:p>
      <w:r>
        <w:br w:type="page"/>
      </w:r>
    </w:p>
    <w:bookmarkStart w:id="13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0" w:name="fig-one"/>
          <w:p>
            <w:pPr>
              <w:pStyle w:val="Compact"/>
              <w:jc w:val="center"/>
            </w:pPr>
            <w:r>
              <w:drawing>
                <wp:inline>
                  <wp:extent cx="3121199" cy="5957999"/>
                  <wp:effectExtent b="0" l="0" r="0" t="0"/>
                  <wp:docPr descr="" title="" id="128" name="Picture"/>
                  <a:graphic>
                    <a:graphicData uri="http://schemas.openxmlformats.org/drawingml/2006/picture">
                      <pic:pic>
                        <pic:nvPicPr>
                          <pic:cNvPr descr="figure_1.jpg" id="129" name="Picture"/>
                          <pic:cNvPicPr>
                            <a:picLocks noChangeArrowheads="1" noChangeAspect="1"/>
                          </pic:cNvPicPr>
                        </pic:nvPicPr>
                        <pic:blipFill>
                          <a:blip r:embed="rId127"/>
                          <a:stretch>
                            <a:fillRect/>
                          </a:stretch>
                        </pic:blipFill>
                        <pic:spPr bwMode="auto">
                          <a:xfrm>
                            <a:off x="0" y="0"/>
                            <a:ext cx="3121199" cy="5957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Visual comparison of forceps size and shape across sexes and male morphs: (a) female, (b) brachylabic male, and (c) macrolabic male. Macrolabic males display exaggerated forceps consistent with positive allometry, while brachylabic males and females exhibit relatively reduced forceps. Photographs are of adults from the experimental population (Parc Outremont, Montréal). Scale bars = 1 mm.</w:t>
            </w:r>
          </w:p>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fig-two"/>
          <w:p>
            <w:pPr>
              <w:pStyle w:val="Compact"/>
              <w:jc w:val="center"/>
            </w:pPr>
            <w:r>
              <w:drawing>
                <wp:inline>
                  <wp:extent cx="3810000" cy="2540000"/>
                  <wp:effectExtent b="0" l="0" r="0" t="0"/>
                  <wp:docPr descr="" title="" id="132" name="Picture"/>
                  <a:graphic>
                    <a:graphicData uri="http://schemas.openxmlformats.org/drawingml/2006/picture">
                      <pic:pic>
                        <pic:nvPicPr>
                          <pic:cNvPr descr="figure_2.jpg" id="133" name="Picture"/>
                          <pic:cNvPicPr>
                            <a:picLocks noChangeArrowheads="1" noChangeAspect="1"/>
                          </pic:cNvPicPr>
                        </pic:nvPicPr>
                        <pic:blipFill>
                          <a:blip r:embed="rId13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Relationship between pronotum length (body size) and forceps length in female, brachylabic male, and macrolabic male Forficula auricularia reared under two diet treatments (good and poor) and three density treatments (low, medium, and high). Points represent individual adults. Rows correspond to phenotypic groups and columns correspond to density treatments. Colours indicate developmental diet. Density distributions of forceps length for each phenotypic group are shown in the right-hand panels. Females exhibited a continuous distribution of forceps sizes, whereas males formed two discrete morphs that overlapped in body size but differed markedly in forceps length. Macrolabic males possessed substantially longer forceps than brachylabic males across the observed range of body sizes. Sample sizes for each diet-by-density combination are provided in Table S1.</w:t>
            </w:r>
          </w:p>
          <w:bookmarkEnd w:id="134"/>
        </w:tc>
      </w:tr>
    </w:tbl>
    <w:p>
      <w:r>
        <w:br w:type="page"/>
      </w:r>
    </w:p>
    <w:tbl>
      <w:tblPr>
        <w:tblStyle w:val="Table"/>
        <w:tblW w:type="pct" w:w="5000"/>
        <w:tblLayout w:type="fixed"/>
        <w:tblLook w:firstRow="0" w:lastRow="0" w:firstColumn="0" w:lastColumn="0" w:noHBand="0" w:noVBand="0" w:val="0000"/>
      </w:tblPr>
      <w:tblGrid>
        <w:gridCol w:w="7920"/>
      </w:tblGrid>
      <w:tr>
        <w:tc>
          <w:tcPr/>
          <w:bookmarkStart w:id="138" w:name="fig-three"/>
          <w:p>
            <w:pPr>
              <w:pStyle w:val="Compact"/>
              <w:jc w:val="center"/>
            </w:pPr>
            <w:r>
              <w:drawing>
                <wp:inline>
                  <wp:extent cx="3810000" cy="2540000"/>
                  <wp:effectExtent b="0" l="0" r="0" t="0"/>
                  <wp:docPr descr="" title="" id="136" name="Picture"/>
                  <a:graphic>
                    <a:graphicData uri="http://schemas.openxmlformats.org/drawingml/2006/picture">
                      <pic:pic>
                        <pic:nvPicPr>
                          <pic:cNvPr descr="figure_3.jpg" id="137" name="Picture"/>
                          <pic:cNvPicPr>
                            <a:picLocks noChangeArrowheads="1" noChangeAspect="1"/>
                          </pic:cNvPicPr>
                        </pic:nvPicPr>
                        <pic:blipFill>
                          <a:blip r:embed="rId13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median allometric slopes (β) and 95% highest posterior density intervals relating forceps length to pronotum length for females, brachylabic males, and macrolabic males across diet and density treatments. The vertical dashed line indicates isometry (β = 1). Values greater than one indicate hyperallometry, whereas values less than one indicate hypoallometry.</w:t>
            </w:r>
          </w:p>
          <w:bookmarkEnd w:id="138"/>
        </w:tc>
      </w:tr>
    </w:tbl>
    <w:bookmarkEnd w:id="139"/>
    <w:bookmarkEnd w:id="140"/>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27" Target="media/rId127.jpg" /><Relationship Type="http://schemas.openxmlformats.org/officeDocument/2006/relationships/image" Id="rId131" Target="media/rId131.jpg" /><Relationship Type="http://schemas.openxmlformats.org/officeDocument/2006/relationships/image" Id="rId135" Target="media/rId135.jpg" /><Relationship Type="http://schemas.openxmlformats.org/officeDocument/2006/relationships/hyperlink" Id="rId105" Target="https://doi.org/10.1002/bies.201200139" TargetMode="External" /><Relationship Type="http://schemas.openxmlformats.org/officeDocument/2006/relationships/hyperlink" Id="rId107" Target="https://doi.org/10.1002/bies.20584" TargetMode="External" /><Relationship Type="http://schemas.openxmlformats.org/officeDocument/2006/relationships/hyperlink" Id="rId110" Target="https://doi.org/10.1007/BF01239350" TargetMode="External" /><Relationship Type="http://schemas.openxmlformats.org/officeDocument/2006/relationships/hyperlink" Id="rId55" Target="https://doi.org/10.1007/s002650050393" TargetMode="External" /><Relationship Type="http://schemas.openxmlformats.org/officeDocument/2006/relationships/hyperlink" Id="rId112" Target="https://doi.org/10.1007/s002650050643" TargetMode="External" /><Relationship Type="http://schemas.openxmlformats.org/officeDocument/2006/relationships/hyperlink" Id="rId120" Target="https://doi.org/10.1007/s11222-016-9696-4" TargetMode="External" /><Relationship Type="http://schemas.openxmlformats.org/officeDocument/2006/relationships/hyperlink" Id="rId67" Target="https://doi.org/10.1016/0169-5347(96)81050-0" TargetMode="External" /><Relationship Type="http://schemas.openxmlformats.org/officeDocument/2006/relationships/hyperlink" Id="rId49" Target="https://doi.org/10.1037/12293-000" TargetMode="External" /><Relationship Type="http://schemas.openxmlformats.org/officeDocument/2006/relationships/hyperlink" Id="rId114" Target="https://doi.org/10.1038/nature02918" TargetMode="External" /><Relationship Type="http://schemas.openxmlformats.org/officeDocument/2006/relationships/hyperlink" Id="rId103" Target="https://doi.org/10.1038/nmeth.2019" TargetMode="External" /><Relationship Type="http://schemas.openxmlformats.org/officeDocument/2006/relationships/hyperlink" Id="rId82" Target="https://doi.org/10.1073/pnas.0602994103" TargetMode="External" /><Relationship Type="http://schemas.openxmlformats.org/officeDocument/2006/relationships/hyperlink" Id="rId57" Target="https://doi.org/10.1073/pnas.0701209104" TargetMode="External" /><Relationship Type="http://schemas.openxmlformats.org/officeDocument/2006/relationships/hyperlink" Id="rId116" Target="https://doi.org/10.1086/427732?casa_token=YJ5K8COA9WEAAAAA:lhS-5Gek6_oAvK9kmTaTCbaPM8p_ESqCucMG_J0StuYSLzk9p-pXLIy5XeyjqAUIKWookbrPcQrq" TargetMode="External" /><Relationship Type="http://schemas.openxmlformats.org/officeDocument/2006/relationships/hyperlink" Id="rId40" Target="https://doi.org/10.1086/510214" TargetMode="External" /><Relationship Type="http://schemas.openxmlformats.org/officeDocument/2006/relationships/hyperlink" Id="rId124" Target="https://doi.org/10.1086/684159" TargetMode="External" /><Relationship Type="http://schemas.openxmlformats.org/officeDocument/2006/relationships/hyperlink" Id="rId51" Target="https://doi.org/10.1086/699410" TargetMode="External" /><Relationship Type="http://schemas.openxmlformats.org/officeDocument/2006/relationships/hyperlink" Id="rId80" Target="https://doi.org/10.1093/beheco/arae069" TargetMode="External" /><Relationship Type="http://schemas.openxmlformats.org/officeDocument/2006/relationships/hyperlink" Id="rId74" Target="https://doi.org/10.1093/beheco/arh141" TargetMode="External" /><Relationship Type="http://schemas.openxmlformats.org/officeDocument/2006/relationships/hyperlink" Id="rId118" Target="https://doi.org/10.1093/beheco/arp013" TargetMode="External" /><Relationship Type="http://schemas.openxmlformats.org/officeDocument/2006/relationships/hyperlink" Id="rId86" Target="https://doi.org/10.1093/biolinnean/blaf031" TargetMode="External" /><Relationship Type="http://schemas.openxmlformats.org/officeDocument/2006/relationships/hyperlink" Id="rId53" Target="https://doi.org/10.1093/evolut/qpad121" TargetMode="External" /><Relationship Type="http://schemas.openxmlformats.org/officeDocument/2006/relationships/hyperlink" Id="rId76" Target="https://doi.org/10.1093/evolut/qpaf215" TargetMode="External" /><Relationship Type="http://schemas.openxmlformats.org/officeDocument/2006/relationships/hyperlink" Id="rId90" Target="https://doi.org/10.1093/icb/ics068" TargetMode="External" /><Relationship Type="http://schemas.openxmlformats.org/officeDocument/2006/relationships/hyperlink" Id="rId63" Target="https://doi.org/10.1093/zoolinnean/zlaa070" TargetMode="External" /><Relationship Type="http://schemas.openxmlformats.org/officeDocument/2006/relationships/hyperlink" Id="rId101" Target="https://doi.org/10.1098/rspb.1996.0207" TargetMode="External" /><Relationship Type="http://schemas.openxmlformats.org/officeDocument/2006/relationships/hyperlink" Id="rId94" Target="https://doi.org/10.1111/1365-2435.14532" TargetMode="External" /><Relationship Type="http://schemas.openxmlformats.org/officeDocument/2006/relationships/hyperlink" Id="rId72" Target="https://doi.org/10.1111/ens.12058" TargetMode="External" /><Relationship Type="http://schemas.openxmlformats.org/officeDocument/2006/relationships/hyperlink" Id="rId45" Target="https://doi.org/10.1111/evo.12395" TargetMode="External" /><Relationship Type="http://schemas.openxmlformats.org/officeDocument/2006/relationships/hyperlink" Id="rId47" Target="https://doi.org/10.1111/j.0014-3820.2004.tb00989.x" TargetMode="External" /><Relationship Type="http://schemas.openxmlformats.org/officeDocument/2006/relationships/hyperlink" Id="rId69" Target="https://doi.org/10.1111/j.1420-9101.2008.01573.x" TargetMode="External" /><Relationship Type="http://schemas.openxmlformats.org/officeDocument/2006/relationships/hyperlink" Id="rId65" Target="https://doi.org/10.1111/j.1469-185x.1966.tb01624.x" TargetMode="External" /><Relationship Type="http://schemas.openxmlformats.org/officeDocument/2006/relationships/hyperlink" Id="rId38" Target="https://doi.org/10.1111/j.1558-5646.2007.00081.x" TargetMode="External" /><Relationship Type="http://schemas.openxmlformats.org/officeDocument/2006/relationships/hyperlink" Id="rId96" Target="https://doi.org/10.1111/nyas.12470" TargetMode="External" /><Relationship Type="http://schemas.openxmlformats.org/officeDocument/2006/relationships/hyperlink" Id="rId61" Target="https://doi.org/10.1126/science.1105409" TargetMode="External" /><Relationship Type="http://schemas.openxmlformats.org/officeDocument/2006/relationships/hyperlink" Id="rId88" Target="https://doi.org/10.1146/annurev-ento-013023-015632" TargetMode="External" /><Relationship Type="http://schemas.openxmlformats.org/officeDocument/2006/relationships/hyperlink" Id="rId78" Target="https://doi.org/10.1146/annurev.ecolsys.37.091305.110054" TargetMode="External" /><Relationship Type="http://schemas.openxmlformats.org/officeDocument/2006/relationships/hyperlink" Id="rId59" Target="https://doi.org/10.1146/annurev.ent.45.1.661" TargetMode="External" /><Relationship Type="http://schemas.openxmlformats.org/officeDocument/2006/relationships/hyperlink" Id="rId122" Target="https://doi.org/10.1214/20-BA1221" TargetMode="External" /><Relationship Type="http://schemas.openxmlformats.org/officeDocument/2006/relationships/hyperlink" Id="rId98" Target="https://doi.org/10.18637/jss.v054.i12" TargetMode="External" /><Relationship Type="http://schemas.openxmlformats.org/officeDocument/2006/relationships/hyperlink" Id="rId43" Target="https://doi.org/10.18637/jss.v080.i01" TargetMode="External" /><Relationship Type="http://schemas.openxmlformats.org/officeDocument/2006/relationships/hyperlink" Id="rId36" Target="https://doi.org/10.24072/pcjournal.430"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bies.201200139" TargetMode="External" /><Relationship Type="http://schemas.openxmlformats.org/officeDocument/2006/relationships/hyperlink" Id="rId107" Target="https://doi.org/10.1002/bies.20584" TargetMode="External" /><Relationship Type="http://schemas.openxmlformats.org/officeDocument/2006/relationships/hyperlink" Id="rId110" Target="https://doi.org/10.1007/BF01239350" TargetMode="External" /><Relationship Type="http://schemas.openxmlformats.org/officeDocument/2006/relationships/hyperlink" Id="rId55" Target="https://doi.org/10.1007/s002650050393" TargetMode="External" /><Relationship Type="http://schemas.openxmlformats.org/officeDocument/2006/relationships/hyperlink" Id="rId112" Target="https://doi.org/10.1007/s002650050643" TargetMode="External" /><Relationship Type="http://schemas.openxmlformats.org/officeDocument/2006/relationships/hyperlink" Id="rId120" Target="https://doi.org/10.1007/s11222-016-9696-4" TargetMode="External" /><Relationship Type="http://schemas.openxmlformats.org/officeDocument/2006/relationships/hyperlink" Id="rId67" Target="https://doi.org/10.1016/0169-5347(96)81050-0" TargetMode="External" /><Relationship Type="http://schemas.openxmlformats.org/officeDocument/2006/relationships/hyperlink" Id="rId49" Target="https://doi.org/10.1037/12293-000" TargetMode="External" /><Relationship Type="http://schemas.openxmlformats.org/officeDocument/2006/relationships/hyperlink" Id="rId114" Target="https://doi.org/10.1038/nature02918" TargetMode="External" /><Relationship Type="http://schemas.openxmlformats.org/officeDocument/2006/relationships/hyperlink" Id="rId103" Target="https://doi.org/10.1038/nmeth.2019" TargetMode="External" /><Relationship Type="http://schemas.openxmlformats.org/officeDocument/2006/relationships/hyperlink" Id="rId82" Target="https://doi.org/10.1073/pnas.0602994103" TargetMode="External" /><Relationship Type="http://schemas.openxmlformats.org/officeDocument/2006/relationships/hyperlink" Id="rId57" Target="https://doi.org/10.1073/pnas.0701209104" TargetMode="External" /><Relationship Type="http://schemas.openxmlformats.org/officeDocument/2006/relationships/hyperlink" Id="rId116" Target="https://doi.org/10.1086/427732?casa_token=YJ5K8COA9WEAAAAA:lhS-5Gek6_oAvK9kmTaTCbaPM8p_ESqCucMG_J0StuYSLzk9p-pXLIy5XeyjqAUIKWookbrPcQrq" TargetMode="External" /><Relationship Type="http://schemas.openxmlformats.org/officeDocument/2006/relationships/hyperlink" Id="rId40" Target="https://doi.org/10.1086/510214" TargetMode="External" /><Relationship Type="http://schemas.openxmlformats.org/officeDocument/2006/relationships/hyperlink" Id="rId124" Target="https://doi.org/10.1086/684159" TargetMode="External" /><Relationship Type="http://schemas.openxmlformats.org/officeDocument/2006/relationships/hyperlink" Id="rId51" Target="https://doi.org/10.1086/699410" TargetMode="External" /><Relationship Type="http://schemas.openxmlformats.org/officeDocument/2006/relationships/hyperlink" Id="rId80" Target="https://doi.org/10.1093/beheco/arae069" TargetMode="External" /><Relationship Type="http://schemas.openxmlformats.org/officeDocument/2006/relationships/hyperlink" Id="rId74" Target="https://doi.org/10.1093/beheco/arh141" TargetMode="External" /><Relationship Type="http://schemas.openxmlformats.org/officeDocument/2006/relationships/hyperlink" Id="rId118" Target="https://doi.org/10.1093/beheco/arp013" TargetMode="External" /><Relationship Type="http://schemas.openxmlformats.org/officeDocument/2006/relationships/hyperlink" Id="rId86" Target="https://doi.org/10.1093/biolinnean/blaf031" TargetMode="External" /><Relationship Type="http://schemas.openxmlformats.org/officeDocument/2006/relationships/hyperlink" Id="rId53" Target="https://doi.org/10.1093/evolut/qpad121" TargetMode="External" /><Relationship Type="http://schemas.openxmlformats.org/officeDocument/2006/relationships/hyperlink" Id="rId76" Target="https://doi.org/10.1093/evolut/qpaf215" TargetMode="External" /><Relationship Type="http://schemas.openxmlformats.org/officeDocument/2006/relationships/hyperlink" Id="rId90" Target="https://doi.org/10.1093/icb/ics068" TargetMode="External" /><Relationship Type="http://schemas.openxmlformats.org/officeDocument/2006/relationships/hyperlink" Id="rId63" Target="https://doi.org/10.1093/zoolinnean/zlaa070" TargetMode="External" /><Relationship Type="http://schemas.openxmlformats.org/officeDocument/2006/relationships/hyperlink" Id="rId101" Target="https://doi.org/10.1098/rspb.1996.0207" TargetMode="External" /><Relationship Type="http://schemas.openxmlformats.org/officeDocument/2006/relationships/hyperlink" Id="rId94" Target="https://doi.org/10.1111/1365-2435.14532" TargetMode="External" /><Relationship Type="http://schemas.openxmlformats.org/officeDocument/2006/relationships/hyperlink" Id="rId72" Target="https://doi.org/10.1111/ens.12058" TargetMode="External" /><Relationship Type="http://schemas.openxmlformats.org/officeDocument/2006/relationships/hyperlink" Id="rId45" Target="https://doi.org/10.1111/evo.12395" TargetMode="External" /><Relationship Type="http://schemas.openxmlformats.org/officeDocument/2006/relationships/hyperlink" Id="rId47" Target="https://doi.org/10.1111/j.0014-3820.2004.tb00989.x" TargetMode="External" /><Relationship Type="http://schemas.openxmlformats.org/officeDocument/2006/relationships/hyperlink" Id="rId69" Target="https://doi.org/10.1111/j.1420-9101.2008.01573.x" TargetMode="External" /><Relationship Type="http://schemas.openxmlformats.org/officeDocument/2006/relationships/hyperlink" Id="rId65" Target="https://doi.org/10.1111/j.1469-185x.1966.tb01624.x" TargetMode="External" /><Relationship Type="http://schemas.openxmlformats.org/officeDocument/2006/relationships/hyperlink" Id="rId38" Target="https://doi.org/10.1111/j.1558-5646.2007.00081.x" TargetMode="External" /><Relationship Type="http://schemas.openxmlformats.org/officeDocument/2006/relationships/hyperlink" Id="rId96" Target="https://doi.org/10.1111/nyas.12470" TargetMode="External" /><Relationship Type="http://schemas.openxmlformats.org/officeDocument/2006/relationships/hyperlink" Id="rId61" Target="https://doi.org/10.1126/science.1105409" TargetMode="External" /><Relationship Type="http://schemas.openxmlformats.org/officeDocument/2006/relationships/hyperlink" Id="rId88" Target="https://doi.org/10.1146/annurev-ento-013023-015632" TargetMode="External" /><Relationship Type="http://schemas.openxmlformats.org/officeDocument/2006/relationships/hyperlink" Id="rId78" Target="https://doi.org/10.1146/annurev.ecolsys.37.091305.110054" TargetMode="External" /><Relationship Type="http://schemas.openxmlformats.org/officeDocument/2006/relationships/hyperlink" Id="rId59" Target="https://doi.org/10.1146/annurev.ent.45.1.661" TargetMode="External" /><Relationship Type="http://schemas.openxmlformats.org/officeDocument/2006/relationships/hyperlink" Id="rId122" Target="https://doi.org/10.1214/20-BA1221" TargetMode="External" /><Relationship Type="http://schemas.openxmlformats.org/officeDocument/2006/relationships/hyperlink" Id="rId98" Target="https://doi.org/10.18637/jss.v054.i12" TargetMode="External" /><Relationship Type="http://schemas.openxmlformats.org/officeDocument/2006/relationships/hyperlink" Id="rId43" Target="https://doi.org/10.18637/jss.v080.i01" TargetMode="External" /><Relationship Type="http://schemas.openxmlformats.org/officeDocument/2006/relationships/hyperlink" Id="rId36" Target="https://doi.org/10.24072/pcjournal.430"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2026-06-22T15:46:38Z</dcterms:created>
  <dcterms:modified xsi:type="dcterms:W3CDTF">2026-06-22T15:46:38Z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