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p>
      <w:pPr>
        <w:pStyle w:val="BodyText"/>
      </w:pPr>
      <w:r>
        <w:rPr>
          <w:b/>
          <w:bCs/>
        </w:rPr>
        <w:t xml:space="preserve">Table S1.</w:t>
      </w:r>
      <w:r>
        <w:t xml:space="preserve"> </w:t>
      </w:r>
      <w:r>
        <w:t xml:space="preserve">Posterior summaries from the Bayesian sex-specific allometry model. The model estimated Gaussian regression of log forceps length including body size (logPc), sex,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3707"/>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1.25, 1.29</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0.09, 0.56</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0.26, 0.31</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 -0.03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-0.01, 0.04</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0.22, 0.84</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-0.24, 0.23</w:t>
            </w:r>
          </w:p>
        </w:tc>
      </w:tr>
      <w:tr>
        <w:trPr>
          <w:trHeight w:val="6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-0.06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-0.27, 0.27</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0.02, 0.08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0.05, 0.11</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-0.88,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0.04, 0.75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0.06, 0.74</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0.02, 0.04</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0.01, 0.25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-0.49, 0.77</w:t>
            </w:r>
          </w:p>
        </w:tc>
      </w:tr>
      <w:tr>
        <w:trPr>
          <w:trHeight w:val="58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0.12, 0.12</w:t>
            </w:r>
          </w:p>
        </w:tc>
      </w:tr>
    </w:tbl>
    <w:p>
      <w:pPr>
        <w:pStyle w:val="BodyText"/>
      </w:pPr>
      <w:r>
        <w:rPr>
          <w:b/>
          <w:bCs/>
        </w:rPr>
        <w:t xml:space="preserve">Table S2.</w:t>
      </w:r>
      <w:r>
        <w:t xml:space="preserve"> </w:t>
      </w:r>
      <w:r>
        <w:t xml:space="preserve">Posterior summaries from the Bayesian morph-specific male allometry model. The model estimated Gaussian regression of log forceps length including body size (logPc), morph group,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4462"/>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1.39, 1.43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0.13, 0.57</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0.28, 0.35</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-0.04, 0.01</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-0.02, 0.03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0, 0.05</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 (macrolabic)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-0.31, 0.33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-0.35, 0.13</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-0.15, -0.06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-0.28, 0.2</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-0.21, 0.26</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-0.01, 0.07</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0, 0.07</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 (macrolabic)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-0.31, 0.66</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 (macrolabic)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-0.18, 0.59</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 (macrolabic)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-0.42, 0.29</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0.01, 0.03</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0.1, 0.28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0.05, 0.93</w:t>
            </w:r>
          </w:p>
        </w:tc>
      </w:tr>
      <w:tr>
        <w:trPr>
          <w:trHeight w:val="58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0.09, 0.09</w:t>
            </w:r>
          </w:p>
        </w:tc>
      </w:tr>
    </w:tbl>
    <w:sectPr w:rsidR="00D16E09" w:rsidRPr="00B47103"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C346C"/>
    <w:rsid w:val="000E7DF5"/>
    <w:rsid w:val="00106939"/>
    <w:rsid w:val="001417A7"/>
    <w:rsid w:val="0016040D"/>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3DA8"/>
    <w:rsid w:val="005C4826"/>
    <w:rsid w:val="005F4634"/>
    <w:rsid w:val="00603165"/>
    <w:rsid w:val="00641EC4"/>
    <w:rsid w:val="0065421B"/>
    <w:rsid w:val="006B4643"/>
    <w:rsid w:val="006B5CD4"/>
    <w:rsid w:val="006C5D88"/>
    <w:rsid w:val="006D02B1"/>
    <w:rsid w:val="006F6AE2"/>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C576A"/>
    <w:rsid w:val="009F1191"/>
    <w:rsid w:val="00A0102A"/>
    <w:rsid w:val="00A45B24"/>
    <w:rsid w:val="00A52F6C"/>
    <w:rsid w:val="00A5426C"/>
    <w:rsid w:val="00AA05EA"/>
    <w:rsid w:val="00AC0509"/>
    <w:rsid w:val="00AD10C6"/>
    <w:rsid w:val="00B122AB"/>
    <w:rsid w:val="00B16553"/>
    <w:rsid w:val="00B229FD"/>
    <w:rsid w:val="00B24381"/>
    <w:rsid w:val="00B367D0"/>
    <w:rsid w:val="00B42D7A"/>
    <w:rsid w:val="00B47103"/>
    <w:rsid w:val="00B86B75"/>
    <w:rsid w:val="00BC19B9"/>
    <w:rsid w:val="00BC48D5"/>
    <w:rsid w:val="00BF10FD"/>
    <w:rsid w:val="00C02BE0"/>
    <w:rsid w:val="00C04017"/>
    <w:rsid w:val="00C15914"/>
    <w:rsid w:val="00C36279"/>
    <w:rsid w:val="00C5226A"/>
    <w:rsid w:val="00C63E87"/>
    <w:rsid w:val="00C742F5"/>
    <w:rsid w:val="00C74E5F"/>
    <w:rsid w:val="00C91552"/>
    <w:rsid w:val="00CA1B8A"/>
    <w:rsid w:val="00CB0BD1"/>
    <w:rsid w:val="00CD0B57"/>
    <w:rsid w:val="00CD5B1B"/>
    <w:rsid w:val="00CD64F0"/>
    <w:rsid w:val="00CE76D0"/>
    <w:rsid w:val="00D100A8"/>
    <w:rsid w:val="00D151A9"/>
    <w:rsid w:val="00D16E09"/>
    <w:rsid w:val="00D37451"/>
    <w:rsid w:val="00D63932"/>
    <w:rsid w:val="00D700CE"/>
    <w:rsid w:val="00D94E38"/>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436C5"/>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 w:styleId="TableofAuthorities" w:type="paragraph">
    <w:name w:val="table of authorities"/>
    <w:basedOn w:val="Normal"/>
    <w:next w:val="Normal"/>
    <w:unhideWhenUsed/>
    <w:rsid w:val="00A45B24"/>
    <w:pPr>
      <w:spacing w:after="0"/>
      <w:ind w:hanging="240" w:left="240"/>
    </w:pPr>
    <w:rPr>
      <w:sz w:val="20"/>
    </w:rPr>
  </w:style>
  <w:style w:styleId="ListTable7Colorful-Accent6" w:type="table">
    <w:name w:val="List Table 7 Colorful Accent 6"/>
    <w:basedOn w:val="TableNormal"/>
    <w:uiPriority w:val="52"/>
    <w:rsid w:val="00C02BE0"/>
    <w:pPr>
      <w:spacing w:after="0"/>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5" w:type="table">
    <w:name w:val="Plain Table 5"/>
    <w:basedOn w:val="TableNormal"/>
    <w:rsid w:val="00C02BE0"/>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3" w:type="table">
    <w:name w:val="Plain Table 3"/>
    <w:basedOn w:val="TableNormal"/>
    <w:rsid w:val="00C02BE0"/>
    <w:pPr>
      <w:spacing w:after="0"/>
    </w:pPr>
    <w:rPr>
      <w:sz w:val="20"/>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169</Words>
  <Characters>792</Characters>
  <Application>Microsoft Office Word</Application>
  <DocSecurity>0</DocSecurity>
  <Lines>41</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Hierarchical structuring of weapon allometry in the European earwig.</dc:title>
  <dc:creator>Céline Ozkan2 and Clint D. Kelly1,✉</dc:creator>
  <cp:keywords/>
  <dcterms:created xsi:type="dcterms:W3CDTF">2026-04-21T21:00:56Z</dcterms:created>
  <dcterms:modified xsi:type="dcterms:W3CDTF">2026-04-21T21:00:56Z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