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Sexual dimorphism in condition-dependent weapons arises through amplification of shared developmental pathways and enhanced trait-specific sensitivity.</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rPr>
          <w:b/>
          <w:bCs/>
        </w:rPr>
        <w:t xml:space="preserve">Table S1.</w:t>
      </w:r>
      <w:r>
        <w:t xml:space="preserve"> </w:t>
      </w:r>
      <w:r>
        <w:t xml:space="preserve">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3707"/>
        <w:gridCol w:w="1189"/>
        <w:gridCol w:w="1434"/>
      </w:tblGrid>
      <w:tr>
        <w:trPr>
          <w:trHeight w:val="56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 CrI</w:t>
            </w:r>
          </w:p>
        </w:tc>
      </w:tr>
      <w:tr>
        <w:trPr>
          <w:trHeight w:val="5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1.25, 1.29</w:t>
            </w:r>
          </w:p>
        </w:tc>
      </w:tr>
      <w:tr>
        <w:trPr>
          <w:trHeight w:val="5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0.09, 0.56</w:t>
            </w:r>
          </w:p>
        </w:tc>
      </w:tr>
      <w:tr>
        <w:trPr>
          <w:trHeight w:val="59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0.26, 0.31</w:t>
            </w:r>
          </w:p>
        </w:tc>
      </w:tr>
      <w:tr>
        <w:trPr>
          <w:trHeight w:val="59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-0.08, -0.03</w:t>
            </w:r>
          </w:p>
        </w:tc>
      </w:tr>
      <w:tr>
        <w:trPr>
          <w:trHeight w:val="5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-0.01, 0.04</w:t>
            </w:r>
          </w:p>
        </w:tc>
      </w:tr>
      <w:tr>
        <w:trPr>
          <w:trHeight w:val="5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0, 0.05</w:t>
            </w:r>
          </w:p>
        </w:tc>
      </w:tr>
      <w:tr>
        <w:trPr>
          <w:trHeight w:val="60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0.22, 0.84</w:t>
            </w:r>
          </w:p>
        </w:tc>
      </w:tr>
      <w:tr>
        <w:trPr>
          <w:trHeight w:val="59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-0.24, 0.23</w:t>
            </w:r>
          </w:p>
        </w:tc>
      </w:tr>
      <w:tr>
        <w:trPr>
          <w:trHeight w:val="60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-0.13, -0.06</w:t>
            </w:r>
          </w:p>
        </w:tc>
      </w:tr>
      <w:tr>
        <w:trPr>
          <w:trHeight w:val="59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-0.27, 0.27</w:t>
            </w:r>
          </w:p>
        </w:tc>
      </w:tr>
      <w:tr>
        <w:trPr>
          <w:trHeight w:val="5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-0.31, 0.19</w:t>
            </w:r>
          </w:p>
        </w:tc>
      </w:tr>
      <w:tr>
        <w:trPr>
          <w:trHeight w:val="60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0.02, 0.08</w:t>
            </w:r>
          </w:p>
        </w:tc>
      </w:tr>
      <w:tr>
        <w:trPr>
          <w:trHeight w:val="60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0.05, 0.11</w:t>
            </w:r>
          </w:p>
        </w:tc>
      </w:tr>
      <w:tr>
        <w:trPr>
          <w:trHeight w:val="60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-0.88, -0.19</w:t>
            </w:r>
          </w:p>
        </w:tc>
      </w:tr>
      <w:tr>
        <w:trPr>
          <w:trHeight w:val="60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0.04, 0.75</w:t>
            </w:r>
          </w:p>
        </w:tc>
      </w:tr>
      <w:tr>
        <w:trPr>
          <w:trHeight w:val="60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0.06, 0.74</w:t>
            </w:r>
          </w:p>
        </w:tc>
      </w:tr>
      <w:tr>
        <w:trPr>
          <w:trHeight w:val="60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0.02, 0.04</w:t>
            </w:r>
          </w:p>
        </w:tc>
      </w:tr>
      <w:tr>
        <w:trPr>
          <w:trHeight w:val="60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0.01, 0.25</w:t>
            </w:r>
          </w:p>
        </w:tc>
      </w:tr>
      <w:tr>
        <w:trPr>
          <w:trHeight w:val="60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-0.49, 0.77</w:t>
            </w:r>
          </w:p>
        </w:tc>
      </w:tr>
      <w:tr>
        <w:trPr>
          <w:trHeight w:val="581"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0.12, 0.12</w:t>
            </w:r>
          </w:p>
        </w:tc>
      </w:tr>
    </w:tbl>
    <w:p>
      <w:pPr>
        <w:pStyle w:val="BodyText"/>
      </w:pPr>
      <w:r>
        <w:rPr>
          <w:b/>
          <w:bCs/>
        </w:rPr>
        <w:t xml:space="preserve">Table S2.</w:t>
      </w:r>
      <w:r>
        <w:t xml:space="preserve"> </w:t>
      </w:r>
      <w:r>
        <w:t xml:space="preserve">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4462"/>
        <w:gridCol w:w="1189"/>
        <w:gridCol w:w="1434"/>
      </w:tblGrid>
      <w:tr>
        <w:trPr>
          <w:trHeight w:val="56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95% CrI</w:t>
            </w:r>
          </w:p>
        </w:tc>
      </w:tr>
      <w:tr>
        <w:trPr>
          <w:trHeight w:val="5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1.39, 1.43</w:t>
            </w:r>
          </w:p>
        </w:tc>
      </w:tr>
      <w:tr>
        <w:trPr>
          <w:trHeight w:val="59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0.14, 0.57</w:t>
            </w:r>
          </w:p>
        </w:tc>
      </w:tr>
      <w:tr>
        <w:trPr>
          <w:trHeight w:val="59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0.28, 0.34</w:t>
            </w:r>
          </w:p>
        </w:tc>
      </w:tr>
      <w:tr>
        <w:trPr>
          <w:trHeight w:val="59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-0.04, 0.01</w:t>
            </w:r>
          </w:p>
        </w:tc>
      </w:tr>
      <w:tr>
        <w:trPr>
          <w:trHeight w:val="59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-0.02, 0.03</w:t>
            </w:r>
          </w:p>
        </w:tc>
      </w:tr>
      <w:tr>
        <w:trPr>
          <w:trHeight w:val="59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0, 0.05</w:t>
            </w:r>
          </w:p>
        </w:tc>
      </w:tr>
      <w:tr>
        <w:trPr>
          <w:trHeight w:val="59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-0.3, 0.34</w:t>
            </w:r>
          </w:p>
        </w:tc>
      </w:tr>
      <w:tr>
        <w:trPr>
          <w:trHeight w:val="59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-0.35, 0.13</w:t>
            </w:r>
          </w:p>
        </w:tc>
      </w:tr>
      <w:tr>
        <w:trPr>
          <w:trHeight w:val="598"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-0.16, -0.07</w:t>
            </w:r>
          </w:p>
        </w:tc>
      </w:tr>
      <w:tr>
        <w:trPr>
          <w:trHeight w:val="59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-0.27, 0.22</w:t>
            </w:r>
          </w:p>
        </w:tc>
      </w:tr>
      <w:tr>
        <w:trPr>
          <w:trHeight w:val="5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-0.22, 0.25</w:t>
            </w:r>
          </w:p>
        </w:tc>
      </w:tr>
      <w:tr>
        <w:trPr>
          <w:trHeight w:val="59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0, 0.08</w:t>
            </w:r>
          </w:p>
        </w:tc>
      </w:tr>
      <w:tr>
        <w:trPr>
          <w:trHeight w:val="59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0, 0.07</w:t>
            </w:r>
          </w:p>
        </w:tc>
      </w:tr>
      <w:tr>
        <w:trPr>
          <w:trHeight w:val="59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-0.75, 0.25</w:t>
            </w:r>
          </w:p>
        </w:tc>
      </w:tr>
      <w:tr>
        <w:trPr>
          <w:trHeight w:val="59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-0.31, 0.47</w:t>
            </w:r>
          </w:p>
        </w:tc>
      </w:tr>
      <w:tr>
        <w:trPr>
          <w:trHeight w:val="59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Body size × 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-0.41, 0.31</w:t>
            </w:r>
          </w:p>
        </w:tc>
      </w:tr>
      <w:tr>
        <w:trPr>
          <w:trHeight w:val="60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0.01, 0.03</w:t>
            </w:r>
          </w:p>
        </w:tc>
      </w:tr>
      <w:tr>
        <w:trPr>
          <w:trHeight w:val="60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0.09, 0.28</w:t>
            </w:r>
          </w:p>
        </w:tc>
      </w:tr>
      <w:tr>
        <w:trPr>
          <w:trHeight w:val="60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0.14, 0.94</w:t>
            </w:r>
          </w:p>
        </w:tc>
      </w:tr>
      <w:tr>
        <w:trPr>
          <w:trHeight w:val="581"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0.08, 0.09</w:t>
            </w:r>
          </w:p>
        </w:tc>
      </w:tr>
    </w:tbl>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Sexual dimorphism in condition-dependent weapons arises through amplification of shared developmental pathways and enhanced trait-specific sensitivity.</dc:title>
  <dc:creator>Céline Ozkan2 and Clint D. Kelly1,✉</dc:creator>
  <cp:keywords/>
  <dcterms:created xsi:type="dcterms:W3CDTF">2026-03-02T01:21:58Z</dcterms:created>
  <dcterms:modified xsi:type="dcterms:W3CDTF">2026-03-02T01:21:58Z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