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8B346D" w14:textId="77777777" w:rsidR="00142B92" w:rsidRDefault="00CF54E3">
      <w:pPr>
        <w:pStyle w:val="Title"/>
      </w:pPr>
      <w:r>
        <w:t>Hierarchical structuring of weapon allometry in the European earwig.</w:t>
      </w:r>
    </w:p>
    <w:p w14:paraId="45670294" w14:textId="77777777" w:rsidR="00142B92" w:rsidRDefault="00CF54E3">
      <w:pPr>
        <w:pStyle w:val="Author"/>
      </w:pPr>
      <w:r>
        <w:t>Céline Ozkan</w:t>
      </w:r>
      <w:r>
        <w:rPr>
          <w:vertAlign w:val="superscript"/>
        </w:rPr>
        <w:t>2</w:t>
      </w:r>
      <w:r>
        <w:t xml:space="preserve"> and Clint D. Kelly</w:t>
      </w:r>
      <w:r>
        <w:rPr>
          <w:vertAlign w:val="superscript"/>
        </w:rPr>
        <w:t>1,✉</w:t>
      </w:r>
    </w:p>
    <w:p w14:paraId="1BDABE76" w14:textId="77777777" w:rsidR="00142B92" w:rsidRPr="00E61912" w:rsidRDefault="00CF54E3">
      <w:pPr>
        <w:pStyle w:val="FirstParagraph"/>
        <w:rPr>
          <w:lang w:val="fr-CA"/>
        </w:rPr>
      </w:pPr>
      <w:r w:rsidRPr="00E61912">
        <w:rPr>
          <w:vertAlign w:val="superscript"/>
          <w:lang w:val="fr-CA"/>
        </w:rPr>
        <w:t>1</w:t>
      </w:r>
      <w:r w:rsidRPr="00E61912">
        <w:rPr>
          <w:lang w:val="fr-CA"/>
        </w:rPr>
        <w:t xml:space="preserve"> Département des Sciences biologiques, Université du Québec à Montréal, Montréal, Canada</w:t>
      </w:r>
      <w:r w:rsidRPr="00E61912">
        <w:rPr>
          <w:lang w:val="fr-CA"/>
        </w:rPr>
        <w:br/>
      </w:r>
      <w:r w:rsidRPr="00E61912">
        <w:rPr>
          <w:vertAlign w:val="superscript"/>
          <w:lang w:val="fr-CA"/>
        </w:rPr>
        <w:t>2</w:t>
      </w:r>
      <w:r w:rsidRPr="00E61912">
        <w:rPr>
          <w:lang w:val="fr-CA"/>
        </w:rPr>
        <w:t xml:space="preserve"> Université Claude Bernard Lyon 1, Lyon, France</w:t>
      </w:r>
    </w:p>
    <w:p w14:paraId="31C96E6A" w14:textId="77777777" w:rsidR="00142B92" w:rsidRDefault="00CF54E3">
      <w:pPr>
        <w:pStyle w:val="BodyText"/>
      </w:pPr>
      <w:r>
        <w:rPr>
          <w:vertAlign w:val="superscript"/>
        </w:rPr>
        <w:t>✉</w:t>
      </w:r>
      <w:r>
        <w:t xml:space="preserve"> Correspondence: </w:t>
      </w:r>
      <w:hyperlink r:id="rId7">
        <w:r>
          <w:rPr>
            <w:rStyle w:val="Hyperlink"/>
          </w:rPr>
          <w:t>Clint D. Kelly &lt;kelly.clint@uqam.ca&gt;</w:t>
        </w:r>
      </w:hyperlink>
    </w:p>
    <w:p w14:paraId="179D9F2B" w14:textId="77777777" w:rsidR="00142B92" w:rsidRDefault="00CF54E3">
      <w:r>
        <w:br w:type="page"/>
      </w:r>
    </w:p>
    <w:p w14:paraId="14EFF31D" w14:textId="77777777" w:rsidR="00142B92" w:rsidRDefault="00CF54E3">
      <w:pPr>
        <w:pStyle w:val="Heading1"/>
      </w:pPr>
      <w:bookmarkStart w:id="0" w:name="abstract"/>
      <w:r>
        <w:lastRenderedPageBreak/>
        <w:t>Abstract</w:t>
      </w:r>
    </w:p>
    <w:p w14:paraId="544E65BE" w14:textId="77777777" w:rsidR="00142B92" w:rsidRDefault="00CF54E3">
      <w:pPr>
        <w:pStyle w:val="FirstParagraph"/>
      </w:pPr>
      <w:r>
        <w:t>Static allometries are often treated as stable descriptors of morphological architecture, yet scaling relationships themselves may evolve and respond plastically to environmental conditions. We quantified sex- and morph-specific weapon allometries (focusing on the forceps, which are hardened rear appendages used for defence, hunting, and mating) in the European earwig (</w:t>
      </w:r>
      <w:r>
        <w:rPr>
          <w:i/>
          <w:iCs/>
        </w:rPr>
        <w:t>Forficula auricularia</w:t>
      </w:r>
      <w:r>
        <w:t>) under experimental manipulation of developmental diet and density using hierarchical models that allow scaling exponents to vary across biological levels. Forceps length scaled positively with body size in all groups, but males exhibited substantially steeper allometric slopes than females. There was some evidence that nutritional stress was associated with reduced male scaling exponents, although support for these effects was variable and context-dependent, while density had little consistent influence o</w:t>
      </w:r>
      <w:r>
        <w:t>n slopes. Female scaling relationships remained comparatively stable across environments. Among males, macrolabic individuals tended to show greater environmental sensitivity in scaling relationships than brachylabic males, although statistical support for these differences was limited. There was little evidence that environmental or morph-specific differences were driven by intercept shifts independent of body size. Among-family variation in slopes and intercepts was modest, and their covariance was weak a</w:t>
      </w:r>
      <w:r>
        <w:t>nd uncertain. Overall, these results suggest that weapon allometry is structured primarily through variation in scaling exponents and provide qualified support for the idea that slopes may represent condition-sensitive components of exaggerated trait architecture.</w:t>
      </w:r>
    </w:p>
    <w:p w14:paraId="5EA20B6E" w14:textId="77777777" w:rsidR="00142B92" w:rsidRDefault="00CF54E3">
      <w:r>
        <w:br w:type="page"/>
      </w:r>
    </w:p>
    <w:p w14:paraId="099D59E6" w14:textId="77777777" w:rsidR="00142B92" w:rsidRDefault="00CF54E3">
      <w:pPr>
        <w:pStyle w:val="Heading1"/>
      </w:pPr>
      <w:bookmarkStart w:id="1" w:name="introduction"/>
      <w:bookmarkEnd w:id="0"/>
      <w:r>
        <w:lastRenderedPageBreak/>
        <w:t>Introduction</w:t>
      </w:r>
    </w:p>
    <w:p w14:paraId="748E8559" w14:textId="77777777" w:rsidR="00142B92" w:rsidRDefault="00CF54E3">
      <w:pPr>
        <w:pStyle w:val="FirstParagraph"/>
      </w:pPr>
      <w:r>
        <w:t>Static allometry describes how trait size covaries with body size among individuals at the same developmental stage and provides a central framework for understanding the evolution of exaggerated morphology. Sexually selected weapons often exhibit positive allometry, such that larger individuals tend to express disproportionately larger traits (Kodric-Brown et al. 2006; Bonduriansky 2007; Voje 2016)</w:t>
      </w:r>
      <w:r>
        <w:t>. However, hyperallometry is not universal. When traits serve both sexual and viability functions, or when functional and mechanical constraints limit disproportionate investment, isometry or hypoallometry may evolve instead (Bonduriansky and Day 2003; Eberhard et al. 2018; Kelly 2026). Consequently, scaling relationships reflect how developmental processes, functional performance, and selection interact to generate patterns of trait variation.</w:t>
      </w:r>
    </w:p>
    <w:p w14:paraId="1A9E9B66" w14:textId="77777777" w:rsidR="00142B92" w:rsidRDefault="00CF54E3">
      <w:pPr>
        <w:pStyle w:val="BodyText"/>
      </w:pPr>
      <w:r>
        <w:t>Static allometry is typically described by a linear relationship between log-transformed trait size and body size. In this framework, the slope (scaling exponent) describes the strength of covariation between trait size and body size and therefore the degree of size-dependent exaggeration (Pélabon et al. 2014; Voje 2016)</w:t>
      </w:r>
      <w:r>
        <w:t>. Differences in scaling exponents among groups indicate that trait exaggeration changes with body size, whereas similar slopes imply a shared relationship between trait size and body size despite differences in average trait expression. Because scaling exponents link developmental variation in body size to variation in trait expression, they provide a powerful means of evaluating how exaggerated traits evolve within and among populations (Bonduriansky 2007; Shingleton and Frankino 2013).</w:t>
      </w:r>
    </w:p>
    <w:p w14:paraId="51BC5977" w14:textId="77777777" w:rsidR="00142B92" w:rsidRDefault="00CF54E3">
      <w:pPr>
        <w:pStyle w:val="BodyText"/>
      </w:pPr>
      <w:r>
        <w:t xml:space="preserve">Sexual dimorphism is often viewed as the evolutionary divergence of males and females from a shared developmental architecture. However, dimorphism can arise through multiple pathways. </w:t>
      </w:r>
      <w:r>
        <w:lastRenderedPageBreak/>
        <w:t xml:space="preserve">Males and females may differ in average trait expression while retaining similar allometric relationships, or divergence may occur through changes in how trait size scales with body size. Species expressing alternative male phenotypes provide an opportunity to examine these processes in greater detail because males themselves are partitioned into discrete reproductive forms. In such systems, one male morph may resemble females more closely than other males, raising the possibility that sexual dimorphism is </w:t>
      </w:r>
      <w:r>
        <w:t>concentrated within a subset of the male population rather than distributed uniformly across all males. Understanding whether alternative male phenotypes differ from females in scaling relationships therefore offers insight into how sexual dimorphism and trait exaggeration evolve from shared developmental programs.</w:t>
      </w:r>
    </w:p>
    <w:p w14:paraId="41C11A06" w14:textId="77777777" w:rsidR="00142B92" w:rsidRDefault="00CF54E3">
      <w:pPr>
        <w:pStyle w:val="BodyText"/>
      </w:pPr>
      <w:r>
        <w:t>Species expressing alternative reproductive phenotypes provide particularly valuable models for examining the structure of allometry. In these species, males adopt discrete morphs that differ in weapon size, behaviour, and reproductive tactics (Gross 1996; Shuster and Wade 2003; Oliveira et al. 2008)</w:t>
      </w:r>
      <w:r>
        <w:t>. Because morphs share much of their genome and developmental environment, differences in scaling relationships can reveal how exaggeration evolves within a single species. Although alternative male phenotypes have been documented in many taxa, relatively few studies have quantified morph-specific static allometries, and even fewer have examined how developmental environments influence scaling relationships among morphs (Kochensparger et al. 2024; Kelly 2026).</w:t>
      </w:r>
    </w:p>
    <w:p w14:paraId="28103252" w14:textId="77777777" w:rsidR="00142B92" w:rsidRDefault="00CF54E3">
      <w:pPr>
        <w:pStyle w:val="BodyText"/>
      </w:pPr>
      <w:r>
        <w:t>Environmental conditions can influence both body size and trait expression and may therefore alter static allometries (Emlen 1997; Frankino et al. 2005; Shingleton et al. 2007)</w:t>
      </w:r>
      <w:r>
        <w:t xml:space="preserve">. Nutritional stress, for example, can reduce investment in sexually selected structures, whereas social conditions such as rearing density may modify developmental trajectories through competition or </w:t>
      </w:r>
      <w:r>
        <w:lastRenderedPageBreak/>
        <w:t xml:space="preserve">social interactions. Environmental effects on scaling exponents would indicate plasticity in the relationship between trait size and body size, whereas similar scaling exponents across environments would imply canalization of allometric relationships </w:t>
      </w:r>
      <w:r>
        <w:t xml:space="preserve">(Frankino et al. 2005; Shingleton et al. 2007; Nijhout and German 2012). Determining whether developmental environments modify scaling relationships is therefore important for understanding the extent to which trait exaggeration is environmentally sensitive. Complementary structural modelling of the same study system demonstrates that developmental environments influence forceps expression both indirectly through body size and directly through trait-specific developmental pathways, particularly in males </w:t>
      </w:r>
      <w:r>
        <w:t>(Ozkan and Kelly submitted).</w:t>
      </w:r>
    </w:p>
    <w:p w14:paraId="10673AF9" w14:textId="77777777" w:rsidR="00142B92" w:rsidRDefault="00CF54E3">
      <w:pPr>
        <w:pStyle w:val="BodyText"/>
      </w:pPr>
      <w:r>
        <w:t>Beyond sex, morph, and environment, variation among maternal families can provide insight into the developmental and evolutionary structure of allometry. Families may differ not only in average trait expression but also in the strength of the relationship between trait size and body size. Such variation could arise from genetic differences, maternal effects, or shared developmental conditions. Quantifying among-family variation in allometric slopes therefore offers a means of assessing whether scaling relat</w:t>
      </w:r>
      <w:r>
        <w:t>ionships themselves vary among related individuals</w:t>
      </w:r>
      <w:r>
        <w:t xml:space="preserve"> (Lande 1980; Hansen and Houle 2008; Klingenberg 2008; Pélabon et al. 2014).</w:t>
      </w:r>
    </w:p>
    <w:p w14:paraId="634E2B5C" w14:textId="77777777" w:rsidR="00142B92" w:rsidRDefault="00CF54E3">
      <w:pPr>
        <w:pStyle w:val="BodyText"/>
      </w:pPr>
      <w:r>
        <w:t>The European earwig (</w:t>
      </w:r>
      <w:r>
        <w:rPr>
          <w:i/>
          <w:iCs/>
        </w:rPr>
        <w:t>Forficula auricularia</w:t>
      </w:r>
      <w:r>
        <w:t>) provides a powerful system for examining how sexual dimorphism and alternative male phenotypes are structured through allometry. Males express two discrete forceps morphs, commonly referred to as brachylabic and macrolabic males, which differ markedly in weapon size and shape (Simmons and Tomkins 1996; Tomkins et al. 2005) (</w:t>
      </w:r>
      <w:hyperlink w:anchor="fig-one">
        <w:r>
          <w:rPr>
            <w:rStyle w:val="Hyperlink"/>
          </w:rPr>
          <w:t>Figure 1</w:t>
        </w:r>
      </w:hyperlink>
      <w:r>
        <w:t>). Forceps function both as sexual weapons during male–male interactions and as defensive structures, making them traits with dual functions (Kamimura 2014; Meunier 2024)</w:t>
      </w:r>
      <w:r>
        <w:t xml:space="preserve">. </w:t>
      </w:r>
      <w:r>
        <w:lastRenderedPageBreak/>
        <w:t xml:space="preserve">Because these morphs coexist within the same population, earwigs provide an opportunity to determine whether males share a common scaling relationship that differs from females, or whether divergence is concentrated within a particular male morph. Previous studies have documented morph-specific differences in forceps exaggeration, suggesting that alternative male phenotypes may represent distinct allometric trajectories rather than simple variants of a single male form </w:t>
      </w:r>
      <w:r>
        <w:t>(Simmons and Tomkins 1996; Tomkins et al. 2005).</w:t>
      </w:r>
    </w:p>
    <w:p w14:paraId="48E25E82" w14:textId="77777777" w:rsidR="00142B92" w:rsidRDefault="00CF54E3">
      <w:pPr>
        <w:pStyle w:val="BodyText"/>
      </w:pPr>
      <w:r>
        <w:t xml:space="preserve">Here, we quantify static allometries of forceps length in female, brachylabic male, and macrolabic male </w:t>
      </w:r>
      <w:r>
        <w:rPr>
          <w:i/>
          <w:iCs/>
        </w:rPr>
        <w:t>F. auricularia</w:t>
      </w:r>
      <w:r>
        <w:t xml:space="preserve"> </w:t>
      </w:r>
      <w:r>
        <w:t>reared under experimentally manipulated diet and density conditions. We first test whether the three phenotypic groups differ in allometric scaling relationships and whether any divergence is consistent across developmental environments. We then assess whether developmental conditions modify scaling exponents within each group and whether allometric relationships vary among maternal families. By integrating sex, morph, environment, and family effects within a hierarchical framework, we evaluate whether weap</w:t>
      </w:r>
      <w:r>
        <w:t>on allometry is broadly conserved across phenotypic groups or whether divergence is concentrated within particular male morphs.</w:t>
      </w:r>
    </w:p>
    <w:p w14:paraId="2F508542" w14:textId="77777777" w:rsidR="00142B92" w:rsidRDefault="00CF54E3">
      <w:pPr>
        <w:pStyle w:val="Heading1"/>
      </w:pPr>
      <w:bookmarkStart w:id="2" w:name="methods"/>
      <w:bookmarkEnd w:id="1"/>
      <w:r>
        <w:t>Methods</w:t>
      </w:r>
    </w:p>
    <w:p w14:paraId="3F14FB42" w14:textId="77777777" w:rsidR="00142B92" w:rsidRDefault="00CF54E3">
      <w:pPr>
        <w:pStyle w:val="Heading3"/>
      </w:pPr>
      <w:bookmarkStart w:id="3" w:name="study-species-and-experimental-design"/>
      <w:r>
        <w:t>Study species and experimental design</w:t>
      </w:r>
    </w:p>
    <w:p w14:paraId="22F7FB5B" w14:textId="77777777" w:rsidR="00142B92" w:rsidRDefault="00CF54E3">
      <w:pPr>
        <w:pStyle w:val="FirstParagraph"/>
      </w:pPr>
      <w:r>
        <w:t xml:space="preserve">Adult female earwigs morphologically assignable to the </w:t>
      </w:r>
      <w:r>
        <w:rPr>
          <w:i/>
          <w:iCs/>
        </w:rPr>
        <w:t>Forficula auricularia</w:t>
      </w:r>
      <w:r>
        <w:t xml:space="preserve"> species complex (</w:t>
      </w:r>
      <w:r>
        <w:rPr>
          <w:i/>
          <w:iCs/>
        </w:rPr>
        <w:t>F. auricularia sensu lato</w:t>
      </w:r>
      <w:r>
        <w:t xml:space="preserve">) were collected by hand at night from vegetation in Parc Outremont (Montréal, Québec, Canada) during September and October 2024. The European earwig is now recognized as a complex of closely related lineages that cannot always be distinguished reliably </w:t>
      </w:r>
      <w:r>
        <w:lastRenderedPageBreak/>
        <w:t>using external morphology alone (</w:t>
      </w:r>
      <w:r>
        <w:rPr>
          <w:b/>
          <w:bCs/>
        </w:rPr>
        <w:t>gonzalez-miguens2020?</w:t>
      </w:r>
      <w:r>
        <w:t>)</w:t>
      </w:r>
      <w:r>
        <w:t xml:space="preserve">. Because individuals were not genetically assigned to lineage, we refer to them as </w:t>
      </w:r>
      <w:r>
        <w:rPr>
          <w:i/>
          <w:iCs/>
        </w:rPr>
        <w:t>F. auricularia sensu lato</w:t>
      </w:r>
      <w:r>
        <w:t xml:space="preserve"> throughout. This taxonomic uncertainty should not affect treatment comparisons in the present study because all individuals originated from the same local population and were randomly assigned to experimental treatments, although caution may be warranted when comparing results among studies conducted on genetically characterized lineages.</w:t>
      </w:r>
    </w:p>
    <w:p w14:paraId="1E728683" w14:textId="77777777" w:rsidR="00142B92" w:rsidRDefault="00CF54E3">
      <w:pPr>
        <w:pStyle w:val="BodyText"/>
      </w:pPr>
      <w:r>
        <w:t>Females (n = 115) were transported to the laboratory at the Université du Québec à Montréal and housed individually in 90-mm Petri dishes containing moist sand. Each dish was supplied with a cotton-plugged water tube and TetraMin Tropical Flakes (United Pet Group, Germany), and females were assigned unique identification codes. Earwigs were maintained in darkness at 10°C (Percival Scientific, Perry, IA, USA) to simulate overwintering conditions. Dishes were checked daily for egg laying, and food and water w</w:t>
      </w:r>
      <w:r>
        <w:t>ere replenished as required. Following oviposition (approximately early December), food and water were removed and dishes were inspected weekly. Beginning in January 2025, dishes were checked daily for hatching. Hatching occurred between 13 and 29 January 2025, and all 115 females successfully produced offspring.</w:t>
      </w:r>
    </w:p>
    <w:p w14:paraId="2A9F08C3" w14:textId="77777777" w:rsidR="00142B92" w:rsidRDefault="00CF54E3">
      <w:pPr>
        <w:pStyle w:val="BodyText"/>
      </w:pPr>
      <w:r>
        <w:t>For two weeks following hatching, families were provided with food and water ad libitum. This period allowed nymphs to complete an early moult and attain a size suitable for manual transfer to experimental dishes. To manipulate developmental conditions, we varied both nutritional quality and social density. Diet treatment consisted of either a good-quality diet (100% TetraMin Tropical Flakes) or a poor-quality diet (75% TetraMin Tropical Flakes and 25% non-digestible α-cellulose). Density treatment consiste</w:t>
      </w:r>
      <w:r>
        <w:t xml:space="preserve">d of one, four, or eight individuals per dish. Offspring from each family were randomly assigned among treatment combinations using a split-brood design to </w:t>
      </w:r>
      <w:r>
        <w:lastRenderedPageBreak/>
        <w:t>minimize confounding between maternal background and environmental treatment. Experimental dishes were maintained at 20°C and contained a water tube, treatment-specific food, and a refuge constructed from four sections of paper straw. In total, 1,265 dishes were established. Mothers were euthanized by freezing at −20°C after offspring had been assigned t</w:t>
      </w:r>
      <w:r>
        <w:t>o treatments. Dishes were inspected several times per week for mortality and adult emergence, and food and water were replenished as needed.</w:t>
      </w:r>
    </w:p>
    <w:p w14:paraId="321FEB05" w14:textId="77777777" w:rsidR="00142B92" w:rsidRDefault="00CF54E3">
      <w:pPr>
        <w:pStyle w:val="Heading3"/>
      </w:pPr>
      <w:bookmarkStart w:id="4" w:name="morphological-measurements"/>
      <w:bookmarkEnd w:id="3"/>
      <w:r>
        <w:t>Morphological measurements</w:t>
      </w:r>
    </w:p>
    <w:p w14:paraId="0D87F1EA" w14:textId="77777777" w:rsidR="00142B92" w:rsidRDefault="00CF54E3">
      <w:pPr>
        <w:pStyle w:val="FirstParagraph"/>
      </w:pPr>
      <w:r>
        <w:t>Once offspring reached adulthood, they were removed from their dish, assigned a unique identification code, and the date of adult emergence was recorded. Pronotum length (a proxy for body size) and forceps length were photographed under a Leica S6D stereomicroscope (Leica Microsystems Inc., Concord, ON, Canada) at 0.68× magnification using Enersight software. Measurements were obtained to the nearest 0.001 mm using Fiji image-analysis software (</w:t>
      </w:r>
      <w:r>
        <w:rPr>
          <w:b/>
          <w:bCs/>
        </w:rPr>
        <w:t>schindelin2012?</w:t>
      </w:r>
      <w:r>
        <w:t xml:space="preserve">) </w:t>
      </w:r>
      <w:r>
        <w:t>following established procedures (Lieshout and Elgar 2009). Measurements were conducted blind to treatment whenever possible. To assess measurement repeatability, a subset of 30 individuals was measured twice. Intraclass correlation coefficients indicated high repeatability for both pronotum length (ICC = 0.94) and forceps length (ICC = 0.97).</w:t>
      </w:r>
    </w:p>
    <w:p w14:paraId="33586258" w14:textId="77777777" w:rsidR="00142B92" w:rsidRDefault="00CF54E3">
      <w:pPr>
        <w:pStyle w:val="Heading3"/>
      </w:pPr>
      <w:bookmarkStart w:id="5" w:name="Xe09c0a14a6906ccd10e0b8f234a456446094e35"/>
      <w:bookmarkEnd w:id="4"/>
      <w:r>
        <w:t>Data preparation and statistical analyses</w:t>
      </w:r>
    </w:p>
    <w:p w14:paraId="60C1969E" w14:textId="77777777" w:rsidR="00142B92" w:rsidRDefault="00CF54E3">
      <w:pPr>
        <w:pStyle w:val="FirstParagraph"/>
      </w:pPr>
      <w:r>
        <w:t>All analyses were conducted in R version 4.4.2 (R Core Team 2025)</w:t>
      </w:r>
      <w:r>
        <w:t xml:space="preserve">. Individuals were retained only when the final number of survivors preserved the intended density treatment (low density: one survivor; medium density: at least three survivors; high density: at least six survivors) Individuals lacking sex information were excluded. See Table S1 for final sample sizes. </w:t>
      </w:r>
      <w:r>
        <w:lastRenderedPageBreak/>
        <w:t>Pronotum length and forceps length were log-transformed prior to analysis to linearize allometric relationships and reduce heteroscedasticity.</w:t>
      </w:r>
    </w:p>
    <w:p w14:paraId="7DBC24A1" w14:textId="77777777" w:rsidR="00142B92" w:rsidRDefault="00CF54E3">
      <w:pPr>
        <w:pStyle w:val="BodyText"/>
      </w:pPr>
      <w:r>
        <w:t xml:space="preserve">Male morphs were classified using finite mixture modelling implemented in the package </w:t>
      </w:r>
      <w:r>
        <w:rPr>
          <w:i/>
          <w:iCs/>
        </w:rPr>
        <w:t>mixsmsn</w:t>
      </w:r>
      <w:r>
        <w:t xml:space="preserve"> (Prates et al. 2013). Raw male forceps lengths were modelled as a two-component skew-normal mixture distribution, and males were assigned to the component with the highest posterior probability. This procedure identified the two discrete male morphs traditionally recognized in </w:t>
      </w:r>
      <w:r>
        <w:rPr>
          <w:i/>
          <w:iCs/>
        </w:rPr>
        <w:t>F. auricularia</w:t>
      </w:r>
      <w:r>
        <w:t>: brachylabic and macrolabic males.</w:t>
      </w:r>
    </w:p>
    <w:p w14:paraId="35D630A5" w14:textId="77777777" w:rsidR="00142B92" w:rsidRDefault="00CF54E3">
      <w:pPr>
        <w:pStyle w:val="BodyText"/>
      </w:pPr>
      <w:r>
        <w:t xml:space="preserve">We analysed allometric relationships using hierarchical Bayesian models fitted with the package </w:t>
      </w:r>
      <w:r>
        <w:rPr>
          <w:i/>
          <w:iCs/>
        </w:rPr>
        <w:t>brms</w:t>
      </w:r>
      <w:r>
        <w:t xml:space="preserve"> (Bürkner 2017) and the </w:t>
      </w:r>
      <w:r>
        <w:rPr>
          <w:i/>
          <w:iCs/>
        </w:rPr>
        <w:t>cmdstanr</w:t>
      </w:r>
      <w:r>
        <w:t xml:space="preserve"> </w:t>
      </w:r>
      <w:r>
        <w:t>backend. To evaluate sex differences in scaling relationships, we fitted a model including females and males in which log-transformed forceps length was modelled as a function of log-transformed pronotum length, sex, diet, density, and all interactions among these variables. Because males consist of two morphs that differ markedly in forceps expression, estimates from this model should be interpreted as population-level male averages. To examine variation within males, we fitted a second model restricted to</w:t>
      </w:r>
      <w:r>
        <w:t xml:space="preserve"> males in which sex was replaced by male morph (brachylabic versus macrolabic). In both models, maternal identity was included as a varying intercept and varying slope for body size, allowing families to differ in both average trait expression and allometric scaling.</w:t>
      </w:r>
    </w:p>
    <w:p w14:paraId="75150307" w14:textId="77777777" w:rsidR="00142B92" w:rsidRDefault="00CF54E3">
      <w:pPr>
        <w:pStyle w:val="BodyText"/>
      </w:pPr>
      <w:r>
        <w:t xml:space="preserve">Weakly informative priors were specified for fixed and random effects. Models were fitted using Hamiltonian Monte Carlo sampling, and convergence was assessed using trace plots, effective sample sizes, and </w:t>
      </w:r>
      <m:oMath>
        <m:acc>
          <m:accPr>
            <m:ctrlPr>
              <w:rPr>
                <w:rFonts w:ascii="Cambria Math" w:hAnsi="Cambria Math"/>
              </w:rPr>
            </m:ctrlPr>
          </m:accPr>
          <m:e>
            <m:r>
              <w:rPr>
                <w:rFonts w:ascii="Cambria Math" w:hAnsi="Cambria Math"/>
              </w:rPr>
              <m:t>R</m:t>
            </m:r>
          </m:e>
        </m:acc>
      </m:oMath>
      <w:r>
        <w:t xml:space="preserve"> values.</w:t>
      </w:r>
    </w:p>
    <w:p w14:paraId="4222229F" w14:textId="77777777" w:rsidR="00142B92" w:rsidRDefault="00CF54E3">
      <w:pPr>
        <w:pStyle w:val="BodyText"/>
      </w:pPr>
      <w:r>
        <w:lastRenderedPageBreak/>
        <w:t xml:space="preserve">Condition-specific allometric slopes were estimated from posterior distributions using the function </w:t>
      </w:r>
      <w:r>
        <w:rPr>
          <w:rStyle w:val="VerbatimChar"/>
        </w:rPr>
        <w:t>emtrends()</w:t>
      </w:r>
      <w:r>
        <w:t xml:space="preserve"> in the package </w:t>
      </w:r>
      <w:r>
        <w:rPr>
          <w:i/>
          <w:iCs/>
        </w:rPr>
        <w:t>emmeans</w:t>
      </w:r>
      <w:r>
        <w:t xml:space="preserve"> (Lenth et al. 2019)</w:t>
      </w:r>
      <w:r>
        <w:t>. Slopes were estimated separately for each combination of sex or morph, diet treatment, and density treatment. We report posterior medians and 95% credible intervals throughout. Inference was based on posterior distributions rather than null-hypothesis significance testing.</w:t>
      </w:r>
    </w:p>
    <w:p w14:paraId="32970A00" w14:textId="77777777" w:rsidR="00142B92" w:rsidRDefault="00CF54E3">
      <w:pPr>
        <w:pStyle w:val="Heading1"/>
      </w:pPr>
      <w:bookmarkStart w:id="6" w:name="results"/>
      <w:bookmarkEnd w:id="2"/>
      <w:bookmarkEnd w:id="5"/>
      <w:r>
        <w:t>Results</w:t>
      </w:r>
    </w:p>
    <w:p w14:paraId="67676C7A" w14:textId="77777777" w:rsidR="00142B92" w:rsidRDefault="00CF54E3">
      <w:pPr>
        <w:pStyle w:val="SourceCode"/>
      </w:pPr>
      <w:r>
        <w:rPr>
          <w:rStyle w:val="NormalTok"/>
        </w:rPr>
        <w:t xml:space="preserve">vc_all </w:t>
      </w:r>
      <w:r>
        <w:rPr>
          <w:rStyle w:val="OtherTok"/>
        </w:rPr>
        <w:t>&lt;-</w:t>
      </w:r>
      <w:r>
        <w:rPr>
          <w:rStyle w:val="NormalTok"/>
        </w:rPr>
        <w:t xml:space="preserve"> </w:t>
      </w:r>
      <w:r>
        <w:rPr>
          <w:rStyle w:val="FunctionTok"/>
        </w:rPr>
        <w:t>VarCorr</w:t>
      </w:r>
      <w:r>
        <w:rPr>
          <w:rStyle w:val="NormalTok"/>
        </w:rPr>
        <w:t>(mod_all)</w:t>
      </w:r>
      <w:r>
        <w:br/>
      </w:r>
      <w:r>
        <w:br/>
      </w:r>
      <w:r>
        <w:rPr>
          <w:rStyle w:val="NormalTok"/>
        </w:rPr>
        <w:t xml:space="preserve">fam_intercept_sd  </w:t>
      </w:r>
      <w:r>
        <w:rPr>
          <w:rStyle w:val="OtherTok"/>
        </w:rPr>
        <w:t>&lt;-</w:t>
      </w:r>
      <w:r>
        <w:rPr>
          <w:rStyle w:val="NormalTok"/>
        </w:rPr>
        <w:t xml:space="preserve"> vc_all</w:t>
      </w:r>
      <w:r>
        <w:rPr>
          <w:rStyle w:val="SpecialCharTok"/>
        </w:rPr>
        <w:t>$</w:t>
      </w:r>
      <w:r>
        <w:rPr>
          <w:rStyle w:val="NormalTok"/>
        </w:rPr>
        <w:t>id_mere</w:t>
      </w:r>
      <w:r>
        <w:rPr>
          <w:rStyle w:val="SpecialCharTok"/>
        </w:rPr>
        <w:t>$</w:t>
      </w:r>
      <w:r>
        <w:rPr>
          <w:rStyle w:val="NormalTok"/>
        </w:rPr>
        <w:t>sd[</w:t>
      </w:r>
      <w:r>
        <w:rPr>
          <w:rStyle w:val="StringTok"/>
        </w:rPr>
        <w:t>"Intercept"</w:t>
      </w:r>
      <w:r>
        <w:rPr>
          <w:rStyle w:val="NormalTok"/>
        </w:rPr>
        <w:t xml:space="preserve">, </w:t>
      </w:r>
      <w:r>
        <w:rPr>
          <w:rStyle w:val="StringTok"/>
        </w:rPr>
        <w:t>"Estimate"</w:t>
      </w:r>
      <w:r>
        <w:rPr>
          <w:rStyle w:val="NormalTok"/>
        </w:rPr>
        <w:t>]</w:t>
      </w:r>
      <w:r>
        <w:br/>
      </w:r>
      <w:r>
        <w:rPr>
          <w:rStyle w:val="NormalTok"/>
        </w:rPr>
        <w:t xml:space="preserve">fam_intercept_lwr </w:t>
      </w:r>
      <w:r>
        <w:rPr>
          <w:rStyle w:val="OtherTok"/>
        </w:rPr>
        <w:t>&lt;-</w:t>
      </w:r>
      <w:r>
        <w:rPr>
          <w:rStyle w:val="NormalTok"/>
        </w:rPr>
        <w:t xml:space="preserve"> vc_all</w:t>
      </w:r>
      <w:r>
        <w:rPr>
          <w:rStyle w:val="SpecialCharTok"/>
        </w:rPr>
        <w:t>$</w:t>
      </w:r>
      <w:r>
        <w:rPr>
          <w:rStyle w:val="NormalTok"/>
        </w:rPr>
        <w:t>id_mere</w:t>
      </w:r>
      <w:r>
        <w:rPr>
          <w:rStyle w:val="SpecialCharTok"/>
        </w:rPr>
        <w:t>$</w:t>
      </w:r>
      <w:r>
        <w:rPr>
          <w:rStyle w:val="NormalTok"/>
        </w:rPr>
        <w:t>sd[</w:t>
      </w:r>
      <w:r>
        <w:rPr>
          <w:rStyle w:val="StringTok"/>
        </w:rPr>
        <w:t>"Intercept"</w:t>
      </w:r>
      <w:r>
        <w:rPr>
          <w:rStyle w:val="NormalTok"/>
        </w:rPr>
        <w:t xml:space="preserve">, </w:t>
      </w:r>
      <w:r>
        <w:rPr>
          <w:rStyle w:val="StringTok"/>
        </w:rPr>
        <w:t>"Q2.5"</w:t>
      </w:r>
      <w:r>
        <w:rPr>
          <w:rStyle w:val="NormalTok"/>
        </w:rPr>
        <w:t>]</w:t>
      </w:r>
      <w:r>
        <w:br/>
      </w:r>
      <w:r>
        <w:rPr>
          <w:rStyle w:val="NormalTok"/>
        </w:rPr>
        <w:t xml:space="preserve">fam_intercept_upr </w:t>
      </w:r>
      <w:r>
        <w:rPr>
          <w:rStyle w:val="OtherTok"/>
        </w:rPr>
        <w:t>&lt;-</w:t>
      </w:r>
      <w:r>
        <w:rPr>
          <w:rStyle w:val="NormalTok"/>
        </w:rPr>
        <w:t xml:space="preserve"> vc_all</w:t>
      </w:r>
      <w:r>
        <w:rPr>
          <w:rStyle w:val="SpecialCharTok"/>
        </w:rPr>
        <w:t>$</w:t>
      </w:r>
      <w:r>
        <w:rPr>
          <w:rStyle w:val="NormalTok"/>
        </w:rPr>
        <w:t>id_mere</w:t>
      </w:r>
      <w:r>
        <w:rPr>
          <w:rStyle w:val="SpecialCharTok"/>
        </w:rPr>
        <w:t>$</w:t>
      </w:r>
      <w:r>
        <w:rPr>
          <w:rStyle w:val="NormalTok"/>
        </w:rPr>
        <w:t>sd[</w:t>
      </w:r>
      <w:r>
        <w:rPr>
          <w:rStyle w:val="StringTok"/>
        </w:rPr>
        <w:t>"Intercept"</w:t>
      </w:r>
      <w:r>
        <w:rPr>
          <w:rStyle w:val="NormalTok"/>
        </w:rPr>
        <w:t xml:space="preserve">, </w:t>
      </w:r>
      <w:r>
        <w:rPr>
          <w:rStyle w:val="StringTok"/>
        </w:rPr>
        <w:t>"Q97.5"</w:t>
      </w:r>
      <w:r>
        <w:rPr>
          <w:rStyle w:val="NormalTok"/>
        </w:rPr>
        <w:t>]</w:t>
      </w:r>
      <w:r>
        <w:br/>
      </w:r>
      <w:r>
        <w:br/>
      </w:r>
      <w:r>
        <w:rPr>
          <w:rStyle w:val="NormalTok"/>
        </w:rPr>
        <w:t xml:space="preserve">fam_slope_sd  </w:t>
      </w:r>
      <w:r>
        <w:rPr>
          <w:rStyle w:val="OtherTok"/>
        </w:rPr>
        <w:t>&lt;-</w:t>
      </w:r>
      <w:r>
        <w:rPr>
          <w:rStyle w:val="NormalTok"/>
        </w:rPr>
        <w:t xml:space="preserve"> vc_all</w:t>
      </w:r>
      <w:r>
        <w:rPr>
          <w:rStyle w:val="SpecialCharTok"/>
        </w:rPr>
        <w:t>$</w:t>
      </w:r>
      <w:r>
        <w:rPr>
          <w:rStyle w:val="NormalTok"/>
        </w:rPr>
        <w:t>id_mere</w:t>
      </w:r>
      <w:r>
        <w:rPr>
          <w:rStyle w:val="SpecialCharTok"/>
        </w:rPr>
        <w:t>$</w:t>
      </w:r>
      <w:r>
        <w:rPr>
          <w:rStyle w:val="NormalTok"/>
        </w:rPr>
        <w:t>sd[</w:t>
      </w:r>
      <w:r>
        <w:rPr>
          <w:rStyle w:val="StringTok"/>
        </w:rPr>
        <w:t>"logP"</w:t>
      </w:r>
      <w:r>
        <w:rPr>
          <w:rStyle w:val="NormalTok"/>
        </w:rPr>
        <w:t xml:space="preserve">, </w:t>
      </w:r>
      <w:r>
        <w:rPr>
          <w:rStyle w:val="StringTok"/>
        </w:rPr>
        <w:t>"Estimate"</w:t>
      </w:r>
      <w:r>
        <w:rPr>
          <w:rStyle w:val="NormalTok"/>
        </w:rPr>
        <w:t>]</w:t>
      </w:r>
      <w:r>
        <w:br/>
      </w:r>
      <w:r>
        <w:rPr>
          <w:rStyle w:val="NormalTok"/>
        </w:rPr>
        <w:t xml:space="preserve">fam_slope_lwr </w:t>
      </w:r>
      <w:r>
        <w:rPr>
          <w:rStyle w:val="OtherTok"/>
        </w:rPr>
        <w:t>&lt;-</w:t>
      </w:r>
      <w:r>
        <w:rPr>
          <w:rStyle w:val="NormalTok"/>
        </w:rPr>
        <w:t xml:space="preserve"> vc_all</w:t>
      </w:r>
      <w:r>
        <w:rPr>
          <w:rStyle w:val="SpecialCharTok"/>
        </w:rPr>
        <w:t>$</w:t>
      </w:r>
      <w:r>
        <w:rPr>
          <w:rStyle w:val="NormalTok"/>
        </w:rPr>
        <w:t>id_mere</w:t>
      </w:r>
      <w:r>
        <w:rPr>
          <w:rStyle w:val="SpecialCharTok"/>
        </w:rPr>
        <w:t>$</w:t>
      </w:r>
      <w:r>
        <w:rPr>
          <w:rStyle w:val="NormalTok"/>
        </w:rPr>
        <w:t>sd[</w:t>
      </w:r>
      <w:r>
        <w:rPr>
          <w:rStyle w:val="StringTok"/>
        </w:rPr>
        <w:t>"logP"</w:t>
      </w:r>
      <w:r>
        <w:rPr>
          <w:rStyle w:val="NormalTok"/>
        </w:rPr>
        <w:t xml:space="preserve">, </w:t>
      </w:r>
      <w:r>
        <w:rPr>
          <w:rStyle w:val="StringTok"/>
        </w:rPr>
        <w:t>"Q2.5"</w:t>
      </w:r>
      <w:r>
        <w:rPr>
          <w:rStyle w:val="NormalTok"/>
        </w:rPr>
        <w:t>]</w:t>
      </w:r>
      <w:r>
        <w:br/>
      </w:r>
      <w:r>
        <w:rPr>
          <w:rStyle w:val="NormalTok"/>
        </w:rPr>
        <w:t xml:space="preserve">fam_slope_upr </w:t>
      </w:r>
      <w:r>
        <w:rPr>
          <w:rStyle w:val="OtherTok"/>
        </w:rPr>
        <w:t>&lt;-</w:t>
      </w:r>
      <w:r>
        <w:rPr>
          <w:rStyle w:val="NormalTok"/>
        </w:rPr>
        <w:t xml:space="preserve"> vc_all</w:t>
      </w:r>
      <w:r>
        <w:rPr>
          <w:rStyle w:val="SpecialCharTok"/>
        </w:rPr>
        <w:t>$</w:t>
      </w:r>
      <w:r>
        <w:rPr>
          <w:rStyle w:val="NormalTok"/>
        </w:rPr>
        <w:t>id_mere</w:t>
      </w:r>
      <w:r>
        <w:rPr>
          <w:rStyle w:val="SpecialCharTok"/>
        </w:rPr>
        <w:t>$</w:t>
      </w:r>
      <w:r>
        <w:rPr>
          <w:rStyle w:val="NormalTok"/>
        </w:rPr>
        <w:t>sd[</w:t>
      </w:r>
      <w:r>
        <w:rPr>
          <w:rStyle w:val="StringTok"/>
        </w:rPr>
        <w:t>"logP"</w:t>
      </w:r>
      <w:r>
        <w:rPr>
          <w:rStyle w:val="NormalTok"/>
        </w:rPr>
        <w:t xml:space="preserve">, </w:t>
      </w:r>
      <w:r>
        <w:rPr>
          <w:rStyle w:val="StringTok"/>
        </w:rPr>
        <w:t>"Q97.5"</w:t>
      </w:r>
      <w:r>
        <w:rPr>
          <w:rStyle w:val="NormalTok"/>
        </w:rPr>
        <w:t>]</w:t>
      </w:r>
      <w:r>
        <w:br/>
      </w:r>
      <w:r>
        <w:br/>
      </w:r>
      <w:r>
        <w:rPr>
          <w:rStyle w:val="NormalTok"/>
        </w:rPr>
        <w:t xml:space="preserve">cor_df </w:t>
      </w:r>
      <w:r>
        <w:rPr>
          <w:rStyle w:val="OtherTok"/>
        </w:rPr>
        <w:t>&lt;-</w:t>
      </w:r>
      <w:r>
        <w:rPr>
          <w:rStyle w:val="NormalTok"/>
        </w:rPr>
        <w:t xml:space="preserve"> </w:t>
      </w:r>
      <w:r>
        <w:rPr>
          <w:rStyle w:val="FunctionTok"/>
        </w:rPr>
        <w:t>as.data.frame</w:t>
      </w:r>
      <w:r>
        <w:rPr>
          <w:rStyle w:val="NormalTok"/>
        </w:rPr>
        <w:t>(vc_all</w:t>
      </w:r>
      <w:r>
        <w:rPr>
          <w:rStyle w:val="SpecialCharTok"/>
        </w:rPr>
        <w:t>$</w:t>
      </w:r>
      <w:r>
        <w:rPr>
          <w:rStyle w:val="NormalTok"/>
        </w:rPr>
        <w:t>id_mere</w:t>
      </w:r>
      <w:r>
        <w:rPr>
          <w:rStyle w:val="SpecialCharTok"/>
        </w:rPr>
        <w:t>$</w:t>
      </w:r>
      <w:r>
        <w:rPr>
          <w:rStyle w:val="NormalTok"/>
        </w:rPr>
        <w:t xml:space="preserve">cor[, , </w:t>
      </w:r>
      <w:r>
        <w:rPr>
          <w:rStyle w:val="StringTok"/>
        </w:rPr>
        <w:t>"Intercept"</w:t>
      </w:r>
      <w:r>
        <w:rPr>
          <w:rStyle w:val="NormalTok"/>
        </w:rPr>
        <w:t>])</w:t>
      </w:r>
      <w:r>
        <w:br/>
      </w:r>
      <w:r>
        <w:br/>
      </w:r>
      <w:r>
        <w:rPr>
          <w:rStyle w:val="NormalTok"/>
        </w:rPr>
        <w:t xml:space="preserve">fam_cor     </w:t>
      </w:r>
      <w:r>
        <w:rPr>
          <w:rStyle w:val="OtherTok"/>
        </w:rPr>
        <w:t>&lt;-</w:t>
      </w:r>
      <w:r>
        <w:rPr>
          <w:rStyle w:val="NormalTok"/>
        </w:rPr>
        <w:t xml:space="preserve"> cor_df[</w:t>
      </w:r>
      <w:r>
        <w:rPr>
          <w:rStyle w:val="StringTok"/>
        </w:rPr>
        <w:t>"logP"</w:t>
      </w:r>
      <w:r>
        <w:rPr>
          <w:rStyle w:val="NormalTok"/>
        </w:rPr>
        <w:t xml:space="preserve">, </w:t>
      </w:r>
      <w:r>
        <w:rPr>
          <w:rStyle w:val="StringTok"/>
        </w:rPr>
        <w:t>"Estimate"</w:t>
      </w:r>
      <w:r>
        <w:rPr>
          <w:rStyle w:val="NormalTok"/>
        </w:rPr>
        <w:t>]</w:t>
      </w:r>
      <w:r>
        <w:br/>
      </w:r>
      <w:r>
        <w:rPr>
          <w:rStyle w:val="NormalTok"/>
        </w:rPr>
        <w:t xml:space="preserve">fam_cor_lwr </w:t>
      </w:r>
      <w:r>
        <w:rPr>
          <w:rStyle w:val="OtherTok"/>
        </w:rPr>
        <w:t>&lt;-</w:t>
      </w:r>
      <w:r>
        <w:rPr>
          <w:rStyle w:val="NormalTok"/>
        </w:rPr>
        <w:t xml:space="preserve"> cor_df[</w:t>
      </w:r>
      <w:r>
        <w:rPr>
          <w:rStyle w:val="StringTok"/>
        </w:rPr>
        <w:t>"logP"</w:t>
      </w:r>
      <w:r>
        <w:rPr>
          <w:rStyle w:val="NormalTok"/>
        </w:rPr>
        <w:t xml:space="preserve">, </w:t>
      </w:r>
      <w:r>
        <w:rPr>
          <w:rStyle w:val="StringTok"/>
        </w:rPr>
        <w:t>"Q2.5"</w:t>
      </w:r>
      <w:r>
        <w:rPr>
          <w:rStyle w:val="NormalTok"/>
        </w:rPr>
        <w:t>]</w:t>
      </w:r>
      <w:r>
        <w:br/>
      </w:r>
      <w:r>
        <w:rPr>
          <w:rStyle w:val="NormalTok"/>
        </w:rPr>
        <w:t xml:space="preserve">fam_cor_upr </w:t>
      </w:r>
      <w:r>
        <w:rPr>
          <w:rStyle w:val="OtherTok"/>
        </w:rPr>
        <w:t>&lt;-</w:t>
      </w:r>
      <w:r>
        <w:rPr>
          <w:rStyle w:val="NormalTok"/>
        </w:rPr>
        <w:t xml:space="preserve"> cor_df[</w:t>
      </w:r>
      <w:r>
        <w:rPr>
          <w:rStyle w:val="StringTok"/>
        </w:rPr>
        <w:t>"logP"</w:t>
      </w:r>
      <w:r>
        <w:rPr>
          <w:rStyle w:val="NormalTok"/>
        </w:rPr>
        <w:t xml:space="preserve">, </w:t>
      </w:r>
      <w:r>
        <w:rPr>
          <w:rStyle w:val="StringTok"/>
        </w:rPr>
        <w:t>"Q97.5"</w:t>
      </w:r>
      <w:r>
        <w:rPr>
          <w:rStyle w:val="NormalTok"/>
        </w:rPr>
        <w:t>]</w:t>
      </w:r>
      <w:r>
        <w:br/>
      </w:r>
      <w:r>
        <w:br/>
      </w:r>
      <w:r>
        <w:rPr>
          <w:rStyle w:val="NormalTok"/>
        </w:rPr>
        <w:t xml:space="preserve">resid_sd  </w:t>
      </w:r>
      <w:r>
        <w:rPr>
          <w:rStyle w:val="OtherTok"/>
        </w:rPr>
        <w:t>&lt;-</w:t>
      </w:r>
      <w:r>
        <w:rPr>
          <w:rStyle w:val="NormalTok"/>
        </w:rPr>
        <w:t xml:space="preserve"> vc_all</w:t>
      </w:r>
      <w:r>
        <w:rPr>
          <w:rStyle w:val="SpecialCharTok"/>
        </w:rPr>
        <w:t>$</w:t>
      </w:r>
      <w:r>
        <w:rPr>
          <w:rStyle w:val="NormalTok"/>
        </w:rPr>
        <w:t>residual__</w:t>
      </w:r>
      <w:r>
        <w:rPr>
          <w:rStyle w:val="SpecialCharTok"/>
        </w:rPr>
        <w:t>$</w:t>
      </w:r>
      <w:r>
        <w:rPr>
          <w:rStyle w:val="NormalTok"/>
        </w:rPr>
        <w:t>sd[</w:t>
      </w:r>
      <w:r>
        <w:rPr>
          <w:rStyle w:val="DecValTok"/>
        </w:rPr>
        <w:t>1</w:t>
      </w:r>
      <w:r>
        <w:rPr>
          <w:rStyle w:val="NormalTok"/>
        </w:rPr>
        <w:t xml:space="preserve">, </w:t>
      </w:r>
      <w:r>
        <w:rPr>
          <w:rStyle w:val="StringTok"/>
        </w:rPr>
        <w:t>"Estimate"</w:t>
      </w:r>
      <w:r>
        <w:rPr>
          <w:rStyle w:val="NormalTok"/>
        </w:rPr>
        <w:t>]</w:t>
      </w:r>
      <w:r>
        <w:br/>
      </w:r>
      <w:r>
        <w:rPr>
          <w:rStyle w:val="NormalTok"/>
        </w:rPr>
        <w:t xml:space="preserve">resid_lwr </w:t>
      </w:r>
      <w:r>
        <w:rPr>
          <w:rStyle w:val="OtherTok"/>
        </w:rPr>
        <w:t>&lt;-</w:t>
      </w:r>
      <w:r>
        <w:rPr>
          <w:rStyle w:val="NormalTok"/>
        </w:rPr>
        <w:t xml:space="preserve"> vc_all</w:t>
      </w:r>
      <w:r>
        <w:rPr>
          <w:rStyle w:val="SpecialCharTok"/>
        </w:rPr>
        <w:t>$</w:t>
      </w:r>
      <w:r>
        <w:rPr>
          <w:rStyle w:val="NormalTok"/>
        </w:rPr>
        <w:t>residual__</w:t>
      </w:r>
      <w:r>
        <w:rPr>
          <w:rStyle w:val="SpecialCharTok"/>
        </w:rPr>
        <w:t>$</w:t>
      </w:r>
      <w:r>
        <w:rPr>
          <w:rStyle w:val="NormalTok"/>
        </w:rPr>
        <w:t>sd[</w:t>
      </w:r>
      <w:r>
        <w:rPr>
          <w:rStyle w:val="DecValTok"/>
        </w:rPr>
        <w:t>1</w:t>
      </w:r>
      <w:r>
        <w:rPr>
          <w:rStyle w:val="NormalTok"/>
        </w:rPr>
        <w:t xml:space="preserve">, </w:t>
      </w:r>
      <w:r>
        <w:rPr>
          <w:rStyle w:val="StringTok"/>
        </w:rPr>
        <w:t>"Q2.5"</w:t>
      </w:r>
      <w:r>
        <w:rPr>
          <w:rStyle w:val="NormalTok"/>
        </w:rPr>
        <w:t>]</w:t>
      </w:r>
      <w:r>
        <w:br/>
      </w:r>
      <w:r>
        <w:rPr>
          <w:rStyle w:val="NormalTok"/>
        </w:rPr>
        <w:t xml:space="preserve">resid_upr </w:t>
      </w:r>
      <w:r>
        <w:rPr>
          <w:rStyle w:val="OtherTok"/>
        </w:rPr>
        <w:t>&lt;-</w:t>
      </w:r>
      <w:r>
        <w:rPr>
          <w:rStyle w:val="NormalTok"/>
        </w:rPr>
        <w:t xml:space="preserve"> vc_all</w:t>
      </w:r>
      <w:r>
        <w:rPr>
          <w:rStyle w:val="SpecialCharTok"/>
        </w:rPr>
        <w:t>$</w:t>
      </w:r>
      <w:r>
        <w:rPr>
          <w:rStyle w:val="NormalTok"/>
        </w:rPr>
        <w:t>residual__</w:t>
      </w:r>
      <w:r>
        <w:rPr>
          <w:rStyle w:val="SpecialCharTok"/>
        </w:rPr>
        <w:t>$</w:t>
      </w:r>
      <w:r>
        <w:rPr>
          <w:rStyle w:val="NormalTok"/>
        </w:rPr>
        <w:t>sd[</w:t>
      </w:r>
      <w:r>
        <w:rPr>
          <w:rStyle w:val="DecValTok"/>
        </w:rPr>
        <w:t>1</w:t>
      </w:r>
      <w:r>
        <w:rPr>
          <w:rStyle w:val="NormalTok"/>
        </w:rPr>
        <w:t xml:space="preserve">, </w:t>
      </w:r>
      <w:r>
        <w:rPr>
          <w:rStyle w:val="StringTok"/>
        </w:rPr>
        <w:t>"Q97.5"</w:t>
      </w:r>
      <w:r>
        <w:rPr>
          <w:rStyle w:val="NormalTok"/>
        </w:rPr>
        <w:t>]</w:t>
      </w:r>
    </w:p>
    <w:p w14:paraId="05B9734B" w14:textId="77777777" w:rsidR="00142B92" w:rsidRDefault="00CF54E3">
      <w:pPr>
        <w:pStyle w:val="FirstParagraph"/>
      </w:pPr>
      <w:r>
        <w:t>Females exhibited a continuous distribution of weapon sizes across body sizes (</w:t>
      </w:r>
      <m:oMath>
        <m:acc>
          <m:accPr>
            <m:chr m:val="‾"/>
            <m:ctrlPr>
              <w:rPr>
                <w:rFonts w:ascii="Cambria Math" w:hAnsi="Cambria Math"/>
              </w:rPr>
            </m:ctrlPr>
          </m:accPr>
          <m:e>
            <m:r>
              <w:rPr>
                <w:rFonts w:ascii="Cambria Math" w:hAnsi="Cambria Math"/>
              </w:rPr>
              <m:t>x</m:t>
            </m:r>
          </m:e>
        </m:acc>
      </m:oMath>
      <w:r>
        <w:t xml:space="preserve"> ± SE pronotum length = 1.77 ± 0.005 mm; </w:t>
      </w:r>
      <m:oMath>
        <m:acc>
          <m:accPr>
            <m:chr m:val="‾"/>
            <m:ctrlPr>
              <w:rPr>
                <w:rFonts w:ascii="Cambria Math" w:hAnsi="Cambria Math"/>
              </w:rPr>
            </m:ctrlPr>
          </m:accPr>
          <m:e>
            <m:r>
              <w:rPr>
                <w:rFonts w:ascii="Cambria Math" w:hAnsi="Cambria Math"/>
              </w:rPr>
              <m:t>x</m:t>
            </m:r>
          </m:e>
        </m:acc>
      </m:oMath>
      <w:r>
        <w:t xml:space="preserve"> ± SE forceps length = 3.59 ± 0.008 mm, n = 935). Males formed two discrete clusters corresponding to brachylabic (</w:t>
      </w:r>
      <m:oMath>
        <m:acc>
          <m:accPr>
            <m:chr m:val="‾"/>
            <m:ctrlPr>
              <w:rPr>
                <w:rFonts w:ascii="Cambria Math" w:hAnsi="Cambria Math"/>
              </w:rPr>
            </m:ctrlPr>
          </m:accPr>
          <m:e>
            <m:r>
              <w:rPr>
                <w:rFonts w:ascii="Cambria Math" w:hAnsi="Cambria Math"/>
              </w:rPr>
              <m:t>x</m:t>
            </m:r>
          </m:e>
        </m:acc>
      </m:oMath>
      <w:r>
        <w:t xml:space="preserve"> ± SE pronotum length = 1.66 ± 0.006 mm; </w:t>
      </w:r>
      <m:oMath>
        <m:acc>
          <m:accPr>
            <m:chr m:val="‾"/>
            <m:ctrlPr>
              <w:rPr>
                <w:rFonts w:ascii="Cambria Math" w:hAnsi="Cambria Math"/>
              </w:rPr>
            </m:ctrlPr>
          </m:accPr>
          <m:e>
            <m:r>
              <w:rPr>
                <w:rFonts w:ascii="Cambria Math" w:hAnsi="Cambria Math"/>
              </w:rPr>
              <m:t>x</m:t>
            </m:r>
          </m:e>
        </m:acc>
      </m:oMath>
      <w:r>
        <w:t xml:space="preserve"> ± SE forceps length = 4.064 ± 0.014 mm, n = 491) and macrolabic morphs (</w:t>
      </w:r>
      <m:oMath>
        <m:acc>
          <m:accPr>
            <m:chr m:val="‾"/>
            <m:ctrlPr>
              <w:rPr>
                <w:rFonts w:ascii="Cambria Math" w:hAnsi="Cambria Math"/>
              </w:rPr>
            </m:ctrlPr>
          </m:accPr>
          <m:e>
            <m:r>
              <w:rPr>
                <w:rFonts w:ascii="Cambria Math" w:hAnsi="Cambria Math"/>
              </w:rPr>
              <m:t>x</m:t>
            </m:r>
          </m:e>
        </m:acc>
      </m:oMath>
      <w:r>
        <w:t xml:space="preserve"> ± SE pronotum length = 1.80 ± 0.006 mm; </w:t>
      </w:r>
      <m:oMath>
        <m:acc>
          <m:accPr>
            <m:chr m:val="‾"/>
            <m:ctrlPr>
              <w:rPr>
                <w:rFonts w:ascii="Cambria Math" w:hAnsi="Cambria Math"/>
              </w:rPr>
            </m:ctrlPr>
          </m:accPr>
          <m:e>
            <m:r>
              <w:rPr>
                <w:rFonts w:ascii="Cambria Math" w:hAnsi="Cambria Math"/>
              </w:rPr>
              <m:t>x</m:t>
            </m:r>
          </m:e>
        </m:acc>
      </m:oMath>
      <w:r>
        <w:t xml:space="preserve"> </w:t>
      </w:r>
      <w:r>
        <w:t>± SE forceps length = 5.93 ± 0.033 mm, n = 488), with overlap in body size but clear separation in forceps length (</w:t>
      </w:r>
      <w:hyperlink w:anchor="fig-two">
        <w:r>
          <w:rPr>
            <w:rStyle w:val="Hyperlink"/>
          </w:rPr>
          <w:t>Figure 2</w:t>
        </w:r>
      </w:hyperlink>
      <w:r>
        <w:t>).</w:t>
      </w:r>
    </w:p>
    <w:p w14:paraId="3688B819" w14:textId="77777777" w:rsidR="00142B92" w:rsidRDefault="00CF54E3">
      <w:pPr>
        <w:pStyle w:val="Heading3"/>
      </w:pPr>
      <w:bookmarkStart w:id="7" w:name="Xb967a6ad8c0800f10fc2527f60ece872ad7b157"/>
      <w:r>
        <w:lastRenderedPageBreak/>
        <w:t>Differences among females and male morphs</w:t>
      </w:r>
    </w:p>
    <w:p w14:paraId="360B653C" w14:textId="77777777" w:rsidR="00142B92" w:rsidRDefault="00CF54E3">
      <w:pPr>
        <w:pStyle w:val="FirstParagraph"/>
      </w:pPr>
      <w:r>
        <w:t>Females exhibited a continuous distribution of weapon sizes across body sizes (</w:t>
      </w:r>
      <m:oMath>
        <m:acc>
          <m:accPr>
            <m:chr m:val="‾"/>
            <m:ctrlPr>
              <w:rPr>
                <w:rFonts w:ascii="Cambria Math" w:hAnsi="Cambria Math"/>
              </w:rPr>
            </m:ctrlPr>
          </m:accPr>
          <m:e>
            <m:r>
              <w:rPr>
                <w:rFonts w:ascii="Cambria Math" w:hAnsi="Cambria Math"/>
              </w:rPr>
              <m:t>x</m:t>
            </m:r>
          </m:e>
        </m:acc>
      </m:oMath>
      <w:r>
        <w:t xml:space="preserve"> ± SE pronotum length = 1.77 ± 0.005 mm; </w:t>
      </w:r>
      <m:oMath>
        <m:acc>
          <m:accPr>
            <m:chr m:val="‾"/>
            <m:ctrlPr>
              <w:rPr>
                <w:rFonts w:ascii="Cambria Math" w:hAnsi="Cambria Math"/>
              </w:rPr>
            </m:ctrlPr>
          </m:accPr>
          <m:e>
            <m:r>
              <w:rPr>
                <w:rFonts w:ascii="Cambria Math" w:hAnsi="Cambria Math"/>
              </w:rPr>
              <m:t>x</m:t>
            </m:r>
          </m:e>
        </m:acc>
      </m:oMath>
      <w:r>
        <w:t xml:space="preserve"> ± SE forceps length = 3.59 ± 0.008 mm, n = 935). Males formed two discrete clusters corresponding to brachylabic (</w:t>
      </w:r>
      <m:oMath>
        <m:acc>
          <m:accPr>
            <m:chr m:val="‾"/>
            <m:ctrlPr>
              <w:rPr>
                <w:rFonts w:ascii="Cambria Math" w:hAnsi="Cambria Math"/>
              </w:rPr>
            </m:ctrlPr>
          </m:accPr>
          <m:e>
            <m:r>
              <w:rPr>
                <w:rFonts w:ascii="Cambria Math" w:hAnsi="Cambria Math"/>
              </w:rPr>
              <m:t>x</m:t>
            </m:r>
          </m:e>
        </m:acc>
      </m:oMath>
      <w:r>
        <w:t xml:space="preserve"> ± SE pronotum length = 1.66 ± 0.006 mm; </w:t>
      </w:r>
      <m:oMath>
        <m:acc>
          <m:accPr>
            <m:chr m:val="‾"/>
            <m:ctrlPr>
              <w:rPr>
                <w:rFonts w:ascii="Cambria Math" w:hAnsi="Cambria Math"/>
              </w:rPr>
            </m:ctrlPr>
          </m:accPr>
          <m:e>
            <m:r>
              <w:rPr>
                <w:rFonts w:ascii="Cambria Math" w:hAnsi="Cambria Math"/>
              </w:rPr>
              <m:t>x</m:t>
            </m:r>
          </m:e>
        </m:acc>
      </m:oMath>
      <w:r>
        <w:t xml:space="preserve"> </w:t>
      </w:r>
      <w:r>
        <w:t>± SE forceps length = 4.064 ± 0.014 mm, n = 491) and macrolabic morphs (</w:t>
      </w:r>
      <m:oMath>
        <m:acc>
          <m:accPr>
            <m:chr m:val="‾"/>
            <m:ctrlPr>
              <w:rPr>
                <w:rFonts w:ascii="Cambria Math" w:hAnsi="Cambria Math"/>
              </w:rPr>
            </m:ctrlPr>
          </m:accPr>
          <m:e>
            <m:r>
              <w:rPr>
                <w:rFonts w:ascii="Cambria Math" w:hAnsi="Cambria Math"/>
              </w:rPr>
              <m:t>x</m:t>
            </m:r>
          </m:e>
        </m:acc>
      </m:oMath>
      <w:r>
        <w:t xml:space="preserve"> ± SE pronotum length = 1.80 ± 0.006 mm; </w:t>
      </w:r>
      <m:oMath>
        <m:acc>
          <m:accPr>
            <m:chr m:val="‾"/>
            <m:ctrlPr>
              <w:rPr>
                <w:rFonts w:ascii="Cambria Math" w:hAnsi="Cambria Math"/>
              </w:rPr>
            </m:ctrlPr>
          </m:accPr>
          <m:e>
            <m:r>
              <w:rPr>
                <w:rFonts w:ascii="Cambria Math" w:hAnsi="Cambria Math"/>
              </w:rPr>
              <m:t>x</m:t>
            </m:r>
          </m:e>
        </m:acc>
      </m:oMath>
      <w:r>
        <w:t xml:space="preserve"> ± SE forceps length = 5.93 ± 0.033 mm, n = 488), with overlap in body size but clear separation in forceps length (</w:t>
      </w:r>
      <w:hyperlink w:anchor="fig-two">
        <w:r>
          <w:rPr>
            <w:rStyle w:val="Hyperlink"/>
          </w:rPr>
          <w:t>Figure 2</w:t>
        </w:r>
      </w:hyperlink>
      <w:r>
        <w:t>).</w:t>
      </w:r>
    </w:p>
    <w:p w14:paraId="6E377394" w14:textId="77777777" w:rsidR="00142B92" w:rsidRDefault="00CF54E3">
      <w:pPr>
        <w:pStyle w:val="BodyText"/>
      </w:pPr>
      <w:r>
        <w:t>Forceps length increased with pronotum length across all phenotypic groups, but most estimated allometric slopes were less than one, indicating predominantly hypoallometric scaling relationships (</w:t>
      </w:r>
      <w:hyperlink w:anchor="fig-three">
        <w:r>
          <w:rPr>
            <w:rStyle w:val="Hyperlink"/>
          </w:rPr>
          <w:t>Figure 3</w:t>
        </w:r>
      </w:hyperlink>
      <w:r>
        <w:t xml:space="preserve">; Table S4; Figure S1). Treating females, brachylabic males, and macrolabic males as three phenotypic groups revealed broadly similar hypoallometric scaling relationships across most developmental environments. Under good diet and low density, estimated slopes were 0.37 (95% CrI: 0.18–0.55) in females, 0.43 (95% CrI: 0.20–0.65) in brachylabic males, and 0.46 (95% CrI: 0.21–0.70) in macrolabic males. Pairwise differences among groups were generally small and uncertain, with contrasts overlapping zero across </w:t>
      </w:r>
      <w:r>
        <w:t>most environments (Table S5).</w:t>
      </w:r>
    </w:p>
    <w:p w14:paraId="6059EB3A" w14:textId="77777777" w:rsidR="00142B92" w:rsidRDefault="00CF54E3">
      <w:pPr>
        <w:pStyle w:val="BodyText"/>
      </w:pPr>
      <w:r>
        <w:t xml:space="preserve">A quadratic model provided better expected out-of-sample predictive performance than the linear model. The quadratic model had a higher expected log predictive density than the linear model (Δelpd = 13.21, SE = 6.56; Table S3), suggesting some support for curvature in the relationship between body size and forceps length. However, because the primary objective of the study was to compare condition-specific allometric slopes among phenotypic groups, and because the linear </w:t>
      </w:r>
      <w:r>
        <w:lastRenderedPageBreak/>
        <w:t>model provides directly interpretable scaling exponents, we retained the linear model as the primary inferential model.</w:t>
      </w:r>
    </w:p>
    <w:p w14:paraId="74A1F0A6" w14:textId="77777777" w:rsidR="00142B92" w:rsidRDefault="00CF54E3">
      <w:pPr>
        <w:pStyle w:val="BodyText"/>
      </w:pPr>
      <w:r>
        <w:t xml:space="preserve">Across the full set of developmental environments, there was little evidence that females and brachylabic males differed consistently in allometric slope (Table S5). The contrast between females and brachylabic males overlapped zero in every diet-by-density combination examined. Macrolabic males likewise exhibited slopes similar to those of females and brachylabic males under most environmental conditions. The clearest exception occurred under poor diet at medium density, where macrolabic males exhibited a </w:t>
      </w:r>
      <w:r>
        <w:t>substantially steeper allometric slope (1.24, 95% CrI: 0.75–1.71) than either females (0.33) or brachylabic males (0.26). Pairwise contrasts confirmed steeper slopes in macrolabic males than in females and brachylabic males under this environment (Table S5). However, this result should be interpreted cautiously because poor-diet macrolabic males were rare, including only 18 individuals at medium density (Table S1).</w:t>
      </w:r>
    </w:p>
    <w:p w14:paraId="039A15AE" w14:textId="77777777" w:rsidR="00142B92" w:rsidRDefault="00CF54E3">
      <w:pPr>
        <w:pStyle w:val="BodyText"/>
      </w:pPr>
      <w:r>
        <w:t>Females and brachylabic males exhibited hypoallometric scaling under all developmental environments examined. Macrolabic males also exhibited hypoallometric scaling in five of the six environments. The sole exception occurred under poor diet and medium density, where the estimated slope exceeded one (1.24, 95% CrI: 0.75–1.71), indicating hyperallometric scaling. Given the low sample sizes for poor-diet macrolabic males (Table S1), this environment-specific hyperallometry should be viewed as suggestive rathe</w:t>
      </w:r>
      <w:r>
        <w:t>r than definitive.</w:t>
      </w:r>
    </w:p>
    <w:p w14:paraId="493E73FA" w14:textId="77777777" w:rsidR="00142B92" w:rsidRDefault="00CF54E3">
      <w:pPr>
        <w:pStyle w:val="Heading3"/>
      </w:pPr>
      <w:bookmarkStart w:id="8" w:name="environmental-effects-on-scaling"/>
      <w:bookmarkEnd w:id="7"/>
      <w:r>
        <w:t>Environmental effects on scaling</w:t>
      </w:r>
    </w:p>
    <w:p w14:paraId="7BF40766" w14:textId="77777777" w:rsidR="00142B92" w:rsidRDefault="00CF54E3">
      <w:pPr>
        <w:pStyle w:val="FirstParagraph"/>
      </w:pPr>
      <w:r>
        <w:t>Environmental effects on allometric slopes were generally weak. In females, diet contrasts overlapped zero at all densities (</w:t>
      </w:r>
      <w:hyperlink w:anchor="fig-three">
        <w:r>
          <w:rPr>
            <w:rStyle w:val="Hyperlink"/>
          </w:rPr>
          <w:t>Figure 3</w:t>
        </w:r>
      </w:hyperlink>
      <w:r>
        <w:t xml:space="preserve">; Table S5), indicating little evidence that nutritional </w:t>
      </w:r>
      <w:r>
        <w:lastRenderedPageBreak/>
        <w:t>conditions altered scaling relationships. Similarly, diet effects on brachylabic male slopes were small and uncertain across all density treatments.</w:t>
      </w:r>
    </w:p>
    <w:p w14:paraId="5BCCBC21" w14:textId="77777777" w:rsidR="00142B92" w:rsidRDefault="00CF54E3">
      <w:pPr>
        <w:pStyle w:val="BodyText"/>
      </w:pPr>
      <w:bookmarkStart w:id="9" w:name="OLE_LINK1"/>
      <w:r>
        <w:t>Evidence for environmental modulation of allometry was concentrated in macrolabic males, but these estimates should be interpreted cautiously because poor-diet macrolabic males were uncommon at low density (n = 3), medium density (n = 18), and high density (n = 13) (Table S1). Under medium density, macrolabic males exhibited steeper slopes under poor diet than under good diet (good–poor contrast = -0.82, 95% CrI: -1.33 to -0.31). By contrast, diet contrasts overlapped zero at low and high densities (Table S</w:t>
      </w:r>
      <w:r>
        <w:t>5).</w:t>
      </w:r>
    </w:p>
    <w:bookmarkEnd w:id="9"/>
    <w:p w14:paraId="585A235D" w14:textId="77777777" w:rsidR="00142B92" w:rsidRDefault="00CF54E3">
      <w:pPr>
        <w:pStyle w:val="BodyText"/>
      </w:pPr>
      <w:r>
        <w:t>Density effects were likewise weak for females and brachylabic males, with all density contrasts overlapping zero (</w:t>
      </w:r>
      <w:hyperlink w:anchor="fig-three">
        <w:r>
          <w:rPr>
            <w:rStyle w:val="Hyperlink"/>
          </w:rPr>
          <w:t>Figure 3</w:t>
        </w:r>
      </w:hyperlink>
      <w:r>
        <w:t>; Table S5). In macrolabic males reared on a poor diet, however, slopes differed among density treatments. Specifically, slopes under medium density exceeded those observed under low density (difference = -1.28, 95% CrI: -2.31 to -0.28) and high density (difference = 1.22, 95% CrI: 0.36 to 2.05). Thus, environmental effects on allometric scaling were not expressed broadly across groups but were largely restricted to macrolabic males under poor diet and medium-density conditions, where estimates are based on</w:t>
      </w:r>
      <w:r>
        <w:t xml:space="preserve"> limited sample sizes.</w:t>
      </w:r>
    </w:p>
    <w:p w14:paraId="150B9DC6" w14:textId="77777777" w:rsidR="00142B92" w:rsidRDefault="00CF54E3">
      <w:pPr>
        <w:pStyle w:val="Heading3"/>
      </w:pPr>
      <w:bookmarkStart w:id="10" w:name="among-family-variation"/>
      <w:bookmarkEnd w:id="8"/>
      <w:r>
        <w:t>Among-family variation</w:t>
      </w:r>
    </w:p>
    <w:p w14:paraId="79B0797C" w14:textId="77777777" w:rsidR="00142B92" w:rsidRDefault="00CF54E3">
      <w:pPr>
        <w:pStyle w:val="FirstParagraph"/>
      </w:pPr>
      <w:r>
        <w:t xml:space="preserve">Variation among maternal families was modest but non-zero (Table S2). The standard deviation of family-level intercepts was 0.026 (95% CrI: 0.001–0.071), indicating limited variation among families in overall forceps expression after accounting for body size, phenotypic group, diet, and density. There was greater variation among families in allometric slopes (SD = 0.062, 95% CrI: </w:t>
      </w:r>
      <w:r>
        <w:lastRenderedPageBreak/>
        <w:t>0.018–0.140), suggesting that the relationship between body size and forceps length differed among maternal families.</w:t>
      </w:r>
    </w:p>
    <w:p w14:paraId="023191F9" w14:textId="77777777" w:rsidR="00142B92" w:rsidRDefault="00CF54E3">
      <w:pPr>
        <w:pStyle w:val="BodyText"/>
      </w:pPr>
      <w:r>
        <w:t>The correlation between family-level intercepts and slopes was negative but highly uncertain (</w:t>
      </w:r>
      <w:r>
        <w:rPr>
          <w:i/>
          <w:iCs/>
        </w:rPr>
        <w:t>r</w:t>
      </w:r>
      <w:r>
        <w:t xml:space="preserve"> = -0.60, 95% CrI: -0.99–0.54), providing little evidence for a consistent association between overall forceps expression and allometric scaling among families. Residual variation was low (SD = 0.073, 95% CrI: 0.071–0.076).</w:t>
      </w:r>
    </w:p>
    <w:p w14:paraId="42B99D9A" w14:textId="77777777" w:rsidR="00142B92" w:rsidRDefault="00CF54E3">
      <w:pPr>
        <w:pStyle w:val="Heading1"/>
      </w:pPr>
      <w:bookmarkStart w:id="11" w:name="discussion"/>
      <w:bookmarkEnd w:id="6"/>
      <w:bookmarkEnd w:id="10"/>
      <w:r>
        <w:t>Discussion</w:t>
      </w:r>
    </w:p>
    <w:p w14:paraId="65DFF3DD" w14:textId="77777777" w:rsidR="00142B92" w:rsidRDefault="00CF54E3">
      <w:pPr>
        <w:pStyle w:val="FirstParagraph"/>
      </w:pPr>
      <w:r>
        <w:t>Static allometries are often treated as stable descriptors of morphological architecture (Huxley 1932; Gould 1966; Voje 2016)</w:t>
      </w:r>
      <w:r>
        <w:t>, yet the extent to which scaling relationships vary among phenotypes and environments remains an important question in evolutionary biology (Pélabon et al. 2014; Voje 2016)</w:t>
      </w:r>
      <w:r>
        <w:t>. By analysing females, brachylabic males, and macrolabic males as separate phenotypic groups, we show that forceps allometry in the European earwig is characterised primarily by similarity rather than divergence. Across most developmental environments, females and brachylabic males exhibited remarkably similar hypoallometric scaling relationships, whereas macrolabic males represented the principal source of deviation from this pattern. Environmental effects on scaling exponents were generally weak, and evi</w:t>
      </w:r>
      <w:r>
        <w:t>dence for environmentally mediated divergence was concentrated in a small subset of conditions. Together, these findings suggest that weapon exaggeration in</w:t>
      </w:r>
      <w:r>
        <w:t xml:space="preserve"> </w:t>
      </w:r>
      <w:r>
        <w:rPr>
          <w:i/>
          <w:iCs/>
        </w:rPr>
        <w:t>F. auricularia</w:t>
      </w:r>
      <w:r>
        <w:t xml:space="preserve"> is associated less with broad sex differences in scaling than with the emergence of a discrete exaggerated male phenotype.</w:t>
      </w:r>
    </w:p>
    <w:p w14:paraId="5B9B4ABD" w14:textId="77777777" w:rsidR="00142B92" w:rsidRDefault="00CF54E3">
      <w:pPr>
        <w:pStyle w:val="BodyText"/>
      </w:pPr>
      <w:r>
        <w:t xml:space="preserve">One implication of this result concerns the evolutionary relationship between sexual dimorphism and alternative male phenotypes. Sexual dimorphism is often discussed as divergence between </w:t>
      </w:r>
      <w:r>
        <w:lastRenderedPageBreak/>
        <w:t>males and females, implicitly treating males as a single phenotypic class. However, our analyses indicate that females and brachylabic males share broadly similar scaling relationships across developmental environments. Consequently, the major axis of divergence in this system does not occur between males and females per se, but rather between macrolabic males and all other phenotypes. This pattern is consistent with the view that exaggerated male phenotypes can arise through modifications of an ancestral o</w:t>
      </w:r>
      <w:r>
        <w:t>r shared allometric relationship, while other phenotypes retain more similar patterns of trait–body size covariation. In this sense, macrolabic males may be viewed as the primary carriers of exaggerated weapon expression, whereas brachylabic males occupy a position that is allometrically closer to females than to their exaggerated male counterparts.</w:t>
      </w:r>
    </w:p>
    <w:p w14:paraId="6F8F0C40" w14:textId="77777777" w:rsidR="00142B92" w:rsidRDefault="00CF54E3">
      <w:pPr>
        <w:pStyle w:val="BodyText"/>
      </w:pPr>
      <w:r>
        <w:t>Interestingly, this pattern contrasts with recent results from the Wellington tree wētā (</w:t>
      </w:r>
      <w:r>
        <w:rPr>
          <w:i/>
          <w:iCs/>
        </w:rPr>
        <w:t>Hemideina crassidens</w:t>
      </w:r>
      <w:r>
        <w:t>), in which morph-specific weapon allometries did not align closely with the degree of weapon exaggeration or the presumed mating role of each male morph (Kelly 2026)</w:t>
      </w:r>
      <w:r>
        <w:t xml:space="preserve">. In that species, the conventional fighter morph did not exhibit steeper weapon allometry than the alternative morphs, suggesting that morph-specific scaling relationships can evolve independently of obvious differences in reproductive tactic or weapon expression. By comparison, the present study reveals a more intuitive pattern in which the exaggerated macrolabic morph is also the phenotype most differentiated allometrically. Together, these studies suggest that alternative reproductive phenotypes do not </w:t>
      </w:r>
      <w:r>
        <w:t>follow a single evolutionary route to weapon exaggeration. In some systems, morph divergence is associated with pronounced differences in scaling relationships, whereas in others morphs differ substantially in weapon expression despite retaining broadly similar allometries.</w:t>
      </w:r>
    </w:p>
    <w:p w14:paraId="5DD5DA0D" w14:textId="77777777" w:rsidR="00142B92" w:rsidRDefault="00CF54E3">
      <w:pPr>
        <w:pStyle w:val="BodyText"/>
      </w:pPr>
      <w:r>
        <w:lastRenderedPageBreak/>
        <w:t>The predominance of hypoallometry is itself notable. Sexually selected weapons are frequently characterised by positive or hyperallometric scaling (Kodric-Brown et al. 2006; Bonduriansky 2007), yet forceps length increased less than proportionally with body size in nearly all environments and phenotypic groups. This result is consistent with growing recognition that exaggerated sexual traits need not exhibit hyperallometric scaling (Bonduriansky and Day 2003; Eberhard et al. 2018; Kelly 2026)</w:t>
      </w:r>
      <w:r>
        <w:t>. Earwig forceps serve multiple functions, including male–male competition, predator defence, prey handling, and courtship interactions (Kamimura 2014; Meunier 2024)</w:t>
      </w:r>
      <w:r>
        <w:t>. Such multifunctionality may constrain disproportionate investment and favour more moderate scaling relationships than those observed in structures used exclusively as sexual weapons. The widespread occurrence of hypoallometry across females and both male morphs suggests that similar functional or developmental constraints operate throughout the species despite substantial differences in absolute forceps expression.</w:t>
      </w:r>
    </w:p>
    <w:p w14:paraId="701B06A7" w14:textId="77777777" w:rsidR="00142B92" w:rsidRDefault="00CF54E3">
      <w:pPr>
        <w:pStyle w:val="BodyText"/>
      </w:pPr>
      <w:r>
        <w:t>Environmental effects on scaling relationships were generally limited. Females and brachylabic males exhibited little evidence of environmentally induced variation in scaling exponents, and most contrasts among developmental environments overlapped zero. Evidence for environmental sensitivity was concentrated in macrolabic males, particularly under poor diet and medium-density conditions, where estimated slopes exceeded one and were steeper than those of the other phenotypic groups. However, this result sho</w:t>
      </w:r>
      <w:r>
        <w:t>uld be interpreted cautiously because macrolabic males were uncommon under poor-diet conditions, resulting in relatively small sample sizes and greater uncertainty. Although these findings are consistent with theoretical expectations that exaggerated sexual traits should exhibit heightened condition dependence</w:t>
      </w:r>
      <w:r>
        <w:t xml:space="preserve"> (Rowe and Houle 1996; Cotton et al. 2004; Tomkins et al. 2004), the overall pattern suggests that scaling exponents </w:t>
      </w:r>
      <w:r>
        <w:lastRenderedPageBreak/>
        <w:t>are considerably less environmentally labile than mean trait expression. Developmental environments may therefore influence weapon size primarily through effects on growth and average trait expression rather than through large changes in the allometric relationship itself.</w:t>
      </w:r>
    </w:p>
    <w:p w14:paraId="57DB1E04" w14:textId="77777777" w:rsidR="00142B92" w:rsidRDefault="00CF54E3">
      <w:pPr>
        <w:pStyle w:val="BodyText"/>
      </w:pPr>
      <w:r>
        <w:t xml:space="preserve">The similarity of females and brachylabic males also provides insight into the developmental basis of morph differentiation. Previous work has shown that morph expression in </w:t>
      </w:r>
      <w:r>
        <w:rPr>
          <w:i/>
          <w:iCs/>
        </w:rPr>
        <w:t>F. auricularia</w:t>
      </w:r>
      <w:r>
        <w:t xml:space="preserve"> is influenced by both genetic and environmental factors (Tomkins 1999)</w:t>
      </w:r>
      <w:r>
        <w:t>. If morph determination were governed solely by body size, one would expect a relatively sharp transition between phenotypes. Instead, substantial overlap in body size occurs between brachylabic and macrolabic males. Our results suggest that morph differentiation is not accompanied by wholesale restructuring of allometric relationships. Rather, the exaggerated phenotype appears to emerge against a background of generally conserved scaling relationships. This pattern is consistent with developmental thresho</w:t>
      </w:r>
      <w:r>
        <w:t>ld models in which discrete morph expression arises through changes in developmental pathways affecting weapon growth, while the broader relationship between body size and trait size remains largely intact</w:t>
      </w:r>
      <w:r>
        <w:t xml:space="preserve"> (Tomkins et al. 2005; </w:t>
      </w:r>
      <w:r>
        <w:rPr>
          <w:b/>
          <w:bCs/>
        </w:rPr>
        <w:t>nijhout2003?</w:t>
      </w:r>
      <w:r>
        <w:t>).</w:t>
      </w:r>
    </w:p>
    <w:p w14:paraId="0C1B6822" w14:textId="77777777" w:rsidR="00142B92" w:rsidRDefault="00CF54E3">
      <w:pPr>
        <w:pStyle w:val="BodyText"/>
      </w:pPr>
      <w:r>
        <w:t>Variation among maternal families was modest but non-zero, indicating that scaling relationships differ slightly among related individuals. Family-level variation in slopes exceeded variation in intercepts, suggesting that the strength of trait–body size covariation varies among maternal lineages. However, the correlation between family-level intercepts and slopes was highly uncertain, providing little evidence that families producing relatively larger forceps also exhibit systematically steeper allometries</w:t>
      </w:r>
      <w:r>
        <w:t xml:space="preserve">. Although family effects cannot be partitioned into genetic and shared environmental components in the present study, the existence of among-family variation </w:t>
      </w:r>
      <w:r>
        <w:lastRenderedPageBreak/>
        <w:t>suggests that scaling relationships are not completely fixed and may provide a substrate for evolutionary change</w:t>
      </w:r>
      <w:r>
        <w:t xml:space="preserve"> (Lande 1980; Pélabon et al. 2014).</w:t>
      </w:r>
    </w:p>
    <w:p w14:paraId="12768A51" w14:textId="77777777" w:rsidR="00142B92" w:rsidRDefault="00CF54E3">
      <w:pPr>
        <w:pStyle w:val="BodyText"/>
      </w:pPr>
      <w:r>
        <w:t>More broadly, our results support a view of static allometry as a hierarchical phenotype in which patterns of trait–body size covariation emerge from multiple sources of variation operating at different biological levels. Most of the observed structure occurred among phenotypic groups rather than among developmental environments or maternal families. In particular, the primary distinction was not between males and females but between the exaggerated macrolabic morph and all other phenotypes. This result hig</w:t>
      </w:r>
      <w:r>
        <w:t>hlights the importance of considering alternative reproductive phenotypes explicitly when studying the evolution of sexual dimorphism and trait exaggeration. Treating males as a single category would have obscured this pattern and potentially led to the misleading conclusion that males possess a distinct allometry relative to females. Instead, our analyses indicate that divergence in weapon allometry is concentrated within a particular male phenotype, suggesting that the evolution of exaggerated weapons may</w:t>
      </w:r>
      <w:r>
        <w:t xml:space="preserve"> proceed through the emergence of discrete allometric variants rather than through uniform modification of male scaling relationships.</w:t>
      </w:r>
    </w:p>
    <w:p w14:paraId="68A4EE1C" w14:textId="77777777" w:rsidR="00142B92" w:rsidRDefault="00CF54E3">
      <w:pPr>
        <w:pStyle w:val="Heading1"/>
      </w:pPr>
      <w:bookmarkStart w:id="12" w:name="data-availability"/>
      <w:bookmarkEnd w:id="11"/>
      <w:r>
        <w:t>Data availability</w:t>
      </w:r>
    </w:p>
    <w:p w14:paraId="1A4F9A37" w14:textId="77777777" w:rsidR="00142B92" w:rsidRDefault="00CF54E3">
      <w:pPr>
        <w:pStyle w:val="FirstParagraph"/>
      </w:pPr>
      <w:r>
        <w:t>Data are available through the OSF repository at https://osf.io/m7c53/overview?view_only=ce50e42b29284cbe8164e768ecb9c2b1.</w:t>
      </w:r>
    </w:p>
    <w:p w14:paraId="7ADBF4FC" w14:textId="77777777" w:rsidR="00142B92" w:rsidRDefault="00CF54E3">
      <w:pPr>
        <w:pStyle w:val="Heading1"/>
      </w:pPr>
      <w:bookmarkStart w:id="13" w:name="funding"/>
      <w:bookmarkEnd w:id="12"/>
      <w:r>
        <w:lastRenderedPageBreak/>
        <w:t>Funding</w:t>
      </w:r>
    </w:p>
    <w:p w14:paraId="635272E9" w14:textId="77777777" w:rsidR="00142B92" w:rsidRDefault="00CF54E3">
      <w:pPr>
        <w:pStyle w:val="FirstParagraph"/>
      </w:pPr>
      <w:r>
        <w:t>The study was funded by a Discovery Grant from the Natural Sciences and Engineering Research Council of Canada (NSERC) to CDK.</w:t>
      </w:r>
    </w:p>
    <w:p w14:paraId="6D0F4F26" w14:textId="77777777" w:rsidR="00142B92" w:rsidRDefault="00CF54E3">
      <w:pPr>
        <w:pStyle w:val="Heading1"/>
      </w:pPr>
      <w:bookmarkStart w:id="14" w:name="conflict-of-interest"/>
      <w:bookmarkEnd w:id="13"/>
      <w:r>
        <w:t>Conflict of Interest</w:t>
      </w:r>
    </w:p>
    <w:p w14:paraId="7F5C6454" w14:textId="77777777" w:rsidR="00142B92" w:rsidRDefault="00CF54E3">
      <w:pPr>
        <w:pStyle w:val="FirstParagraph"/>
      </w:pPr>
      <w:r>
        <w:t>We declare no conflicts of interest.</w:t>
      </w:r>
    </w:p>
    <w:p w14:paraId="1681F091" w14:textId="77777777" w:rsidR="00142B92" w:rsidRDefault="00CF54E3">
      <w:pPr>
        <w:pStyle w:val="Heading1"/>
      </w:pPr>
      <w:bookmarkStart w:id="15" w:name="acknowledgements"/>
      <w:bookmarkEnd w:id="14"/>
      <w:r>
        <w:t>Acknowledgements</w:t>
      </w:r>
    </w:p>
    <w:p w14:paraId="11F69C82" w14:textId="77777777" w:rsidR="00142B92" w:rsidRDefault="00CF54E3">
      <w:pPr>
        <w:pStyle w:val="FirstParagraph"/>
      </w:pPr>
      <w:r>
        <w:t>We thank Andreanne Nault for her help in the lab.</w:t>
      </w:r>
    </w:p>
    <w:p w14:paraId="3CDED2AF" w14:textId="77777777" w:rsidR="00142B92" w:rsidRDefault="00CF54E3">
      <w:r>
        <w:br w:type="page"/>
      </w:r>
    </w:p>
    <w:p w14:paraId="4B456AE6" w14:textId="77777777" w:rsidR="00142B92" w:rsidRDefault="00CF54E3">
      <w:pPr>
        <w:pStyle w:val="Heading1"/>
      </w:pPr>
      <w:bookmarkStart w:id="16" w:name="references"/>
      <w:bookmarkEnd w:id="15"/>
      <w:r>
        <w:lastRenderedPageBreak/>
        <w:t>References</w:t>
      </w:r>
    </w:p>
    <w:p w14:paraId="4122E5E7" w14:textId="77777777" w:rsidR="00142B92" w:rsidRDefault="00CF54E3">
      <w:pPr>
        <w:pStyle w:val="Bibliography"/>
      </w:pPr>
      <w:bookmarkStart w:id="17" w:name="ref-bonduriansky2007"/>
      <w:bookmarkStart w:id="18" w:name="refs"/>
      <w:r>
        <w:t xml:space="preserve">Bonduriansky, R. 2007. Sexual selection and allometry: A </w:t>
      </w:r>
      <w:r>
        <w:t>critical reappraisal of the evidence and ideas. Evolution 61:838–849.</w:t>
      </w:r>
    </w:p>
    <w:p w14:paraId="72DA9B6B" w14:textId="77777777" w:rsidR="00142B92" w:rsidRDefault="00CF54E3">
      <w:pPr>
        <w:pStyle w:val="Bibliography"/>
      </w:pPr>
      <w:bookmarkStart w:id="19" w:name="ref-bonduriansky2003"/>
      <w:bookmarkEnd w:id="17"/>
      <w:r>
        <w:t>Bonduriansky, R., and T. Day. 2003. The evolution of static allometry in sexually selected traits. Evolution 57:2450–2458.</w:t>
      </w:r>
    </w:p>
    <w:p w14:paraId="4789432B" w14:textId="77777777" w:rsidR="00142B92" w:rsidRDefault="00CF54E3">
      <w:pPr>
        <w:pStyle w:val="Bibliography"/>
      </w:pPr>
      <w:bookmarkStart w:id="20" w:name="ref-burkner2017"/>
      <w:bookmarkEnd w:id="19"/>
      <w:r>
        <w:t>Bürkner, P.-C. 2017. brms: An R package for Bayesian multilevel models using Stan. Journal of Statistical Software 80:4308.</w:t>
      </w:r>
    </w:p>
    <w:p w14:paraId="77E2A6A7" w14:textId="77777777" w:rsidR="00142B92" w:rsidRDefault="00CF54E3">
      <w:pPr>
        <w:pStyle w:val="Bibliography"/>
      </w:pPr>
      <w:bookmarkStart w:id="21" w:name="ref-cotton2004"/>
      <w:bookmarkEnd w:id="20"/>
      <w:r>
        <w:t xml:space="preserve">Cotton, S., K. Fowler, and A. Pomiankowski. 2004. Condition dependence of sexual ornament size and variation in the stalk-eyed fly </w:t>
      </w:r>
      <w:r>
        <w:rPr>
          <w:i/>
          <w:iCs/>
        </w:rPr>
        <w:t>Cyrtodiopsis dalmanni</w:t>
      </w:r>
      <w:r>
        <w:t xml:space="preserve"> (Diptera: D</w:t>
      </w:r>
      <w:r>
        <w:t>iopsidae). Evolution 58:1038–1038. Oxford, United Kingdom.</w:t>
      </w:r>
    </w:p>
    <w:p w14:paraId="4D20534C" w14:textId="77777777" w:rsidR="00142B92" w:rsidRDefault="00CF54E3">
      <w:pPr>
        <w:pStyle w:val="Bibliography"/>
      </w:pPr>
      <w:bookmarkStart w:id="22" w:name="ref-eberhard2018"/>
      <w:bookmarkEnd w:id="21"/>
      <w:r>
        <w:t>Eberhard, W. G., R. L. Rodrı́guez, B. A. Huber, B. Speck, H. Miller, B. A. Buzatto, and G. Machado. 2018. Sexual selection and static allometry: The importance of function. The Quarterly Review of Biology 93:207–250.</w:t>
      </w:r>
    </w:p>
    <w:p w14:paraId="6C286366" w14:textId="77777777" w:rsidR="00142B92" w:rsidRDefault="00CF54E3">
      <w:pPr>
        <w:pStyle w:val="Bibliography"/>
      </w:pPr>
      <w:bookmarkStart w:id="23" w:name="ref-emlen1997"/>
      <w:bookmarkEnd w:id="22"/>
      <w:r>
        <w:t xml:space="preserve">Emlen, D. J. 1997. Alternative reproductive tactics and male-dimorphism in the horned beetle </w:t>
      </w:r>
      <w:r>
        <w:rPr>
          <w:i/>
          <w:iCs/>
        </w:rPr>
        <w:t>Onthophagus acuminatus</w:t>
      </w:r>
      <w:r>
        <w:t xml:space="preserve"> (Coleoptera: Scarabaeidae). Behav Ecol Sociobiol 41:335–341.</w:t>
      </w:r>
    </w:p>
    <w:p w14:paraId="647A2342" w14:textId="77777777" w:rsidR="00142B92" w:rsidRDefault="00CF54E3">
      <w:pPr>
        <w:pStyle w:val="Bibliography"/>
      </w:pPr>
      <w:bookmarkStart w:id="24" w:name="ref-frankino2005"/>
      <w:bookmarkEnd w:id="23"/>
      <w:r>
        <w:t>Frankino, W. A., B. J. Zwaan, D. L. Stern, and P. M. Brakefield. 2005. Natural selection and developmental constraints in the evolution of allometries. Science 307:718–720. Section of Evolutionary Biology, Institute of Biology, Leiden University, P.O. Box 9516, 2300 RA Leiden, Netherlands. frankino@alumni.indiana.edu.</w:t>
      </w:r>
    </w:p>
    <w:p w14:paraId="3CA787B3" w14:textId="77777777" w:rsidR="00142B92" w:rsidRDefault="00CF54E3">
      <w:pPr>
        <w:pStyle w:val="Bibliography"/>
      </w:pPr>
      <w:bookmarkStart w:id="25" w:name="ref-gould1966"/>
      <w:bookmarkEnd w:id="24"/>
      <w:r>
        <w:t>Gould, S. J. 1966. Allometry and size in ontogeny and phylogeny. Biol Rev Camb Philos Soc 41:587–640.</w:t>
      </w:r>
    </w:p>
    <w:p w14:paraId="020DA703" w14:textId="77777777" w:rsidR="00142B92" w:rsidRDefault="00CF54E3">
      <w:pPr>
        <w:pStyle w:val="Bibliography"/>
      </w:pPr>
      <w:bookmarkStart w:id="26" w:name="ref-gross1996"/>
      <w:bookmarkEnd w:id="25"/>
      <w:r>
        <w:t>Gross, M. R. 1996. Alternative reproductive strategies and tactics: Diversity within sexes. Trends Ecol Evol 11:92–98.</w:t>
      </w:r>
    </w:p>
    <w:p w14:paraId="60CCCE6B" w14:textId="77777777" w:rsidR="00142B92" w:rsidRDefault="00CF54E3">
      <w:pPr>
        <w:pStyle w:val="Bibliography"/>
      </w:pPr>
      <w:bookmarkStart w:id="27" w:name="ref-hansen2008"/>
      <w:bookmarkEnd w:id="26"/>
      <w:r>
        <w:t>Hansen, T. F., and D. Houle. 2008. Measuring and comparing evolvability and constraint in multivariate characters. J Evol Biol 21:1201–1219. Department of Biology, Center for Ecological; Evolutionary Synthesis, University of Oslo, Oslo, Norway.</w:t>
      </w:r>
    </w:p>
    <w:p w14:paraId="2C17BEC8" w14:textId="77777777" w:rsidR="00142B92" w:rsidRDefault="00CF54E3">
      <w:pPr>
        <w:pStyle w:val="Bibliography"/>
      </w:pPr>
      <w:bookmarkStart w:id="28" w:name="ref-huxley1932"/>
      <w:bookmarkEnd w:id="27"/>
      <w:r>
        <w:t>Huxley, J. 1932. Problems of relative growth.</w:t>
      </w:r>
    </w:p>
    <w:p w14:paraId="25FEDC52" w14:textId="77777777" w:rsidR="00142B92" w:rsidRDefault="00CF54E3">
      <w:pPr>
        <w:pStyle w:val="Bibliography"/>
      </w:pPr>
      <w:bookmarkStart w:id="29" w:name="ref-kamimura2014"/>
      <w:bookmarkEnd w:id="28"/>
      <w:r>
        <w:t>Kamimura, Y. 2014. Pre‐ and postcopulatory sexual selection and the evolution of sexually dimorphic traits in earwigs (Dermaptera). Entomol Sci 17:139–166.</w:t>
      </w:r>
    </w:p>
    <w:p w14:paraId="3D56EB37" w14:textId="77777777" w:rsidR="00142B92" w:rsidRPr="00E61912" w:rsidRDefault="00CF54E3">
      <w:pPr>
        <w:pStyle w:val="Bibliography"/>
        <w:rPr>
          <w:lang w:val="fr-CA"/>
        </w:rPr>
      </w:pPr>
      <w:bookmarkStart w:id="30" w:name="ref-kelly2026"/>
      <w:bookmarkEnd w:id="29"/>
      <w:r>
        <w:t xml:space="preserve">Kelly, C. D. 2026. Can the form of sexual selection explain patterns of static weapon allometry expressed by alternative mating morphotypes? </w:t>
      </w:r>
      <w:r w:rsidRPr="00E61912">
        <w:rPr>
          <w:lang w:val="fr-CA"/>
        </w:rPr>
        <w:t>Evolution 80:191–201. Département des Sciences biologiques, Université du Québec à Montréal, Montréal, Canada.</w:t>
      </w:r>
    </w:p>
    <w:p w14:paraId="4A8A6403" w14:textId="77777777" w:rsidR="00142B92" w:rsidRDefault="00CF54E3">
      <w:pPr>
        <w:pStyle w:val="Bibliography"/>
      </w:pPr>
      <w:bookmarkStart w:id="31" w:name="ref-klingenberg2008"/>
      <w:bookmarkEnd w:id="30"/>
      <w:r>
        <w:lastRenderedPageBreak/>
        <w:t>Klingenberg, C. P. 2008. Morphological integration and developmental modularity. Annual Review of Ecology, Evolution, and Systematics 39:115–132.</w:t>
      </w:r>
    </w:p>
    <w:p w14:paraId="3A2BA86C" w14:textId="77777777" w:rsidR="00142B92" w:rsidRDefault="00CF54E3">
      <w:pPr>
        <w:pStyle w:val="Bibliography"/>
      </w:pPr>
      <w:bookmarkStart w:id="32" w:name="ref-kochensparger2024"/>
      <w:bookmarkEnd w:id="31"/>
      <w:r>
        <w:t>Kochensparger, S. K., C. J. Painting, B. A. Buzatto, and E. L. McCullough. 2024. Are weapon allometries steeper in major or minor males? A meta-analysis. Behav Ecol 35:1–9.</w:t>
      </w:r>
    </w:p>
    <w:p w14:paraId="37E90F33" w14:textId="77777777" w:rsidR="00142B92" w:rsidRDefault="00CF54E3">
      <w:pPr>
        <w:pStyle w:val="Bibliography"/>
      </w:pPr>
      <w:bookmarkStart w:id="33" w:name="ref-kodric-brown2006"/>
      <w:bookmarkEnd w:id="32"/>
      <w:r>
        <w:t>Kodric-Brown, A., R. M. Sibly, and J. H. Brown. 2006. The allometry of ornaments and weapons. Proceedings of the National Academy of Sciences 103:8733–8738.</w:t>
      </w:r>
    </w:p>
    <w:p w14:paraId="02F8FAD0" w14:textId="77777777" w:rsidR="00142B92" w:rsidRDefault="00CF54E3">
      <w:pPr>
        <w:pStyle w:val="Bibliography"/>
      </w:pPr>
      <w:bookmarkStart w:id="34" w:name="ref-lande1980"/>
      <w:bookmarkEnd w:id="33"/>
      <w:r>
        <w:t>Lande, R. 1980. Sexual dimorphism, sexual selection, and adaptation in polygenic characters. Evolution 292–305.</w:t>
      </w:r>
    </w:p>
    <w:p w14:paraId="24BAA487" w14:textId="77777777" w:rsidR="00142B92" w:rsidRDefault="00CF54E3">
      <w:pPr>
        <w:pStyle w:val="Bibliography"/>
      </w:pPr>
      <w:bookmarkStart w:id="35" w:name="ref-lenth2019package"/>
      <w:bookmarkEnd w:id="34"/>
      <w:r>
        <w:t>Lenth, R., H. Singmann, J. Love, P. Buerkner, and M. Herve. 2019. Package “emmeans”: Estimated marginal means, aka least-squares means. Compr. R Arch. Netw 1–67.</w:t>
      </w:r>
    </w:p>
    <w:p w14:paraId="274693E8" w14:textId="77777777" w:rsidR="00142B92" w:rsidRDefault="00CF54E3">
      <w:pPr>
        <w:pStyle w:val="Bibliography"/>
      </w:pPr>
      <w:bookmarkStart w:id="36" w:name="ref-vanlieshout2009"/>
      <w:bookmarkEnd w:id="35"/>
      <w:r>
        <w:t>Lieshout, E. van, and M. A. Elgar. 2009. Armament under direct sexual selection does not exhibit positive allometry in an earwig. Behav Ecol 20:258–264.</w:t>
      </w:r>
    </w:p>
    <w:p w14:paraId="59A4F2FD" w14:textId="77777777" w:rsidR="00142B92" w:rsidRDefault="00CF54E3">
      <w:pPr>
        <w:pStyle w:val="Bibliography"/>
      </w:pPr>
      <w:bookmarkStart w:id="37" w:name="ref-meunier2024"/>
      <w:bookmarkEnd w:id="36"/>
      <w:r>
        <w:t>Meunier, J. 2024. The biology and social life of earwigs (D</w:t>
      </w:r>
      <w:r>
        <w:t>ermaptera). Annu Rev Entomol 69:259–276.</w:t>
      </w:r>
    </w:p>
    <w:p w14:paraId="280AA73B" w14:textId="77777777" w:rsidR="00142B92" w:rsidRDefault="00CF54E3">
      <w:pPr>
        <w:pStyle w:val="Bibliography"/>
      </w:pPr>
      <w:bookmarkStart w:id="38" w:name="ref-nijhout2012"/>
      <w:bookmarkEnd w:id="37"/>
      <w:r>
        <w:t>Nijhout, H. F., and R. Z. German. 2012. Developmental causes of allometry: New models and implications for phenotypic plasticity and evolution. Integr Comp Biol 52:43–52. Department of Biology, Duke University, Durham, NC 27708, USA. hfn@duke.edu.</w:t>
      </w:r>
    </w:p>
    <w:p w14:paraId="3BBE5BAC" w14:textId="77777777" w:rsidR="00142B92" w:rsidRDefault="00CF54E3">
      <w:pPr>
        <w:pStyle w:val="Bibliography"/>
      </w:pPr>
      <w:bookmarkStart w:id="39" w:name="ref-oliveira2008"/>
      <w:bookmarkEnd w:id="38"/>
      <w:r>
        <w:t>Oliveira, R. F., M. Taborsky, and H. J. Brockmann. 2008. Alternative Reproductive Tactics. Cambridge University Press.</w:t>
      </w:r>
    </w:p>
    <w:p w14:paraId="10CFBC24" w14:textId="77777777" w:rsidR="00142B92" w:rsidRDefault="00CF54E3">
      <w:pPr>
        <w:pStyle w:val="Bibliography"/>
      </w:pPr>
      <w:bookmarkStart w:id="40" w:name="ref-ozkansubmitted"/>
      <w:bookmarkEnd w:id="39"/>
      <w:r>
        <w:t>Ozkan, C., and C. D. Kelly. submitted. Sexual dimorphism in condition-dependent weapons arises through amplification of shared developmental pathways and enhanced trait-specific sensitivity.</w:t>
      </w:r>
    </w:p>
    <w:p w14:paraId="0C715EB7" w14:textId="77777777" w:rsidR="00142B92" w:rsidRDefault="00CF54E3">
      <w:pPr>
        <w:pStyle w:val="Bibliography"/>
      </w:pPr>
      <w:bookmarkStart w:id="41" w:name="ref-pelabon2014"/>
      <w:bookmarkEnd w:id="40"/>
      <w:r>
        <w:t>Pélabon, C., C. Firmat, G. Bolstad, K. Voje, D. Houle, J. Cassara, A. Rouzic, and T. Hansen. 2014. Evolution of morphological allometry. Ann N Y Acad Sci 1320:58–75.</w:t>
      </w:r>
    </w:p>
    <w:p w14:paraId="744B3758" w14:textId="77777777" w:rsidR="00142B92" w:rsidRDefault="00CF54E3">
      <w:pPr>
        <w:pStyle w:val="Bibliography"/>
      </w:pPr>
      <w:bookmarkStart w:id="42" w:name="ref-prates2013"/>
      <w:bookmarkEnd w:id="41"/>
      <w:r>
        <w:t>Prates, M. O., C. R. B. Cabral, and V. H. Lachos. 2013. Mixsmsn: F</w:t>
      </w:r>
      <w:r>
        <w:t>itting finite mixture of scale mixture of skew-normal distributions. Journal of Statistical Software 54:96.</w:t>
      </w:r>
    </w:p>
    <w:p w14:paraId="049712E6" w14:textId="77777777" w:rsidR="00142B92" w:rsidRDefault="00CF54E3">
      <w:pPr>
        <w:pStyle w:val="Bibliography"/>
      </w:pPr>
      <w:bookmarkStart w:id="43" w:name="ref-r2013"/>
      <w:bookmarkEnd w:id="42"/>
      <w:r>
        <w:t>R Core Team. 2025. R: A language and environment for statistical computing. Vienna, Austria.</w:t>
      </w:r>
    </w:p>
    <w:p w14:paraId="32BCB2A2" w14:textId="77777777" w:rsidR="00142B92" w:rsidRDefault="00CF54E3">
      <w:pPr>
        <w:pStyle w:val="Bibliography"/>
      </w:pPr>
      <w:bookmarkStart w:id="44" w:name="ref-rowe1996"/>
      <w:bookmarkEnd w:id="43"/>
      <w:r>
        <w:t>Rowe, L., and D. Houle. 1996. The lek paradox and the capture of genetic variance by condition dependent traits. Proc R Soc Lond, B 263:1415–1421.</w:t>
      </w:r>
    </w:p>
    <w:p w14:paraId="0C1DC9B8" w14:textId="77777777" w:rsidR="00142B92" w:rsidRDefault="00CF54E3">
      <w:pPr>
        <w:pStyle w:val="Bibliography"/>
      </w:pPr>
      <w:bookmarkStart w:id="45" w:name="ref-shingleton2013"/>
      <w:bookmarkEnd w:id="44"/>
      <w:r>
        <w:t>Shingleton, A. W., and W. A. Frankino. 2013. New perspectives on the evolution of exaggerated traits. BioEssays 35:100–107.</w:t>
      </w:r>
    </w:p>
    <w:p w14:paraId="6DD05BA7" w14:textId="77777777" w:rsidR="00142B92" w:rsidRDefault="00CF54E3">
      <w:pPr>
        <w:pStyle w:val="Bibliography"/>
      </w:pPr>
      <w:bookmarkStart w:id="46" w:name="ref-shingleton2007"/>
      <w:bookmarkEnd w:id="45"/>
      <w:r>
        <w:lastRenderedPageBreak/>
        <w:t>Shingleton, A. W., W. A. Frankino, T. Flatt, H. F. Nijhout, and D. J. Emlen. 2007. Size and shape: The developmental regulation of static allometry in insects. BioEssays 29:536–548. Department of Zoology, Michigan State University, 203 Natural Science, East Lansing, MI 48910, USA. shingle9@msu.edu.</w:t>
      </w:r>
    </w:p>
    <w:p w14:paraId="6D58FE44" w14:textId="77777777" w:rsidR="00142B92" w:rsidRDefault="00CF54E3">
      <w:pPr>
        <w:pStyle w:val="Bibliography"/>
      </w:pPr>
      <w:bookmarkStart w:id="47" w:name="ref-shuster2003"/>
      <w:bookmarkEnd w:id="46"/>
      <w:r>
        <w:t>Shuster, S., and M. Wade. 2003. Mating Systems and Strategies. Princeton University Press.</w:t>
      </w:r>
    </w:p>
    <w:p w14:paraId="0A1F666D" w14:textId="77777777" w:rsidR="00142B92" w:rsidRDefault="00CF54E3">
      <w:pPr>
        <w:pStyle w:val="Bibliography"/>
      </w:pPr>
      <w:bookmarkStart w:id="48" w:name="ref-simmons1996"/>
      <w:bookmarkEnd w:id="47"/>
      <w:r>
        <w:t>Simmons, L., and J. Tomkins. 1996. Sexual selection and the allometry of earwig forceps. Evol Ecol 10:97–104.</w:t>
      </w:r>
    </w:p>
    <w:p w14:paraId="71A9107A" w14:textId="77777777" w:rsidR="00142B92" w:rsidRDefault="00CF54E3">
      <w:pPr>
        <w:pStyle w:val="Bibliography"/>
      </w:pPr>
      <w:bookmarkStart w:id="49" w:name="ref-tomkins1999"/>
      <w:bookmarkEnd w:id="48"/>
      <w:r>
        <w:t xml:space="preserve">Tomkins, J. 1999. Environmental and genetic determinants of the male forceps length dimorphism in the European earwig </w:t>
      </w:r>
      <w:r>
        <w:rPr>
          <w:i/>
          <w:iCs/>
        </w:rPr>
        <w:t>Forficula auricularia</w:t>
      </w:r>
      <w:r>
        <w:t xml:space="preserve"> L. Behav Ecol Sociobiol 47:1–8.</w:t>
      </w:r>
    </w:p>
    <w:p w14:paraId="7DEA10F4" w14:textId="77777777" w:rsidR="00142B92" w:rsidRDefault="00CF54E3">
      <w:pPr>
        <w:pStyle w:val="Bibliography"/>
      </w:pPr>
      <w:bookmarkStart w:id="50" w:name="ref-tomkins2005a"/>
      <w:bookmarkEnd w:id="49"/>
      <w:r>
        <w:t>Tomkins, J. L., J. S. Kotiaho, and N. R. LeBas. 2005. Matters of scale: Positive allometry and the evolution of male dimorphisms. Am Nat 165:389–402.</w:t>
      </w:r>
    </w:p>
    <w:p w14:paraId="17994B6B" w14:textId="77777777" w:rsidR="00142B92" w:rsidRDefault="00CF54E3">
      <w:pPr>
        <w:pStyle w:val="Bibliography"/>
      </w:pPr>
      <w:bookmarkStart w:id="51" w:name="ref-tomkins2004"/>
      <w:bookmarkEnd w:id="50"/>
      <w:r>
        <w:t>Tomkins, J., J. Radwan, J. Kotiaho, and T. Tregenza. 2004. Genic capture and resolving the lek paradox. Trends Ecol Evol 19:323–328. Environmental; Evolutionary Biology, Dyer’s Brae House, The Mitchell Building, University of St Andrews, Fife, UK, KY16 9TH.</w:t>
      </w:r>
    </w:p>
    <w:p w14:paraId="6EEEF533" w14:textId="77777777" w:rsidR="00142B92" w:rsidRDefault="00CF54E3">
      <w:pPr>
        <w:pStyle w:val="Bibliography"/>
      </w:pPr>
      <w:bookmarkStart w:id="52" w:name="ref-voje2016"/>
      <w:bookmarkEnd w:id="51"/>
      <w:r>
        <w:t>Voje, K. 2016. Scaling of morphological characters across trait type, sex, and environment: A meta-analysis of static allometries. Am Nat 187:89–98.</w:t>
      </w:r>
    </w:p>
    <w:bookmarkEnd w:id="18"/>
    <w:bookmarkEnd w:id="52"/>
    <w:p w14:paraId="6041A19B" w14:textId="77777777" w:rsidR="00142B92" w:rsidRDefault="00CF54E3">
      <w:r>
        <w:br w:type="page"/>
      </w:r>
    </w:p>
    <w:p w14:paraId="50E1AFB8" w14:textId="77777777" w:rsidR="00142B92" w:rsidRDefault="00CF54E3">
      <w:pPr>
        <w:pStyle w:val="Heading2"/>
      </w:pPr>
      <w:bookmarkStart w:id="53" w:name="figures"/>
      <w:r>
        <w:lastRenderedPageBreak/>
        <w:t>Figures</w:t>
      </w:r>
    </w:p>
    <w:tbl>
      <w:tblPr>
        <w:tblStyle w:val="Table"/>
        <w:tblW w:w="5000" w:type="pct"/>
        <w:tblLayout w:type="fixed"/>
        <w:tblLook w:val="0000" w:firstRow="0" w:lastRow="0" w:firstColumn="0" w:lastColumn="0" w:noHBand="0" w:noVBand="0"/>
      </w:tblPr>
      <w:tblGrid>
        <w:gridCol w:w="9620"/>
      </w:tblGrid>
      <w:tr w:rsidR="00142B92" w14:paraId="4FEC9425" w14:textId="77777777">
        <w:tc>
          <w:tcPr>
            <w:tcW w:w="7920" w:type="dxa"/>
          </w:tcPr>
          <w:p w14:paraId="7D1EFBB5" w14:textId="77777777" w:rsidR="00142B92" w:rsidRDefault="00CF54E3">
            <w:pPr>
              <w:pStyle w:val="Compact"/>
              <w:jc w:val="center"/>
            </w:pPr>
            <w:bookmarkStart w:id="54" w:name="fig-one"/>
            <w:r>
              <w:rPr>
                <w:noProof/>
              </w:rPr>
              <w:drawing>
                <wp:inline distT="0" distB="0" distL="0" distR="0" wp14:anchorId="4CB000C8" wp14:editId="171AE382">
                  <wp:extent cx="3121199" cy="5957999"/>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figure_1.jpg"/>
                          <pic:cNvPicPr>
                            <a:picLocks noChangeAspect="1" noChangeArrowheads="1"/>
                          </pic:cNvPicPr>
                        </pic:nvPicPr>
                        <pic:blipFill>
                          <a:blip r:embed="rId8"/>
                          <a:stretch>
                            <a:fillRect/>
                          </a:stretch>
                        </pic:blipFill>
                        <pic:spPr bwMode="auto">
                          <a:xfrm>
                            <a:off x="0" y="0"/>
                            <a:ext cx="3121199" cy="5957999"/>
                          </a:xfrm>
                          <a:prstGeom prst="rect">
                            <a:avLst/>
                          </a:prstGeom>
                          <a:noFill/>
                          <a:ln w="9525">
                            <a:noFill/>
                            <a:headEnd/>
                            <a:tailEnd/>
                          </a:ln>
                        </pic:spPr>
                      </pic:pic>
                    </a:graphicData>
                  </a:graphic>
                </wp:inline>
              </w:drawing>
            </w:r>
          </w:p>
          <w:p w14:paraId="28AB551A" w14:textId="77777777" w:rsidR="00142B92" w:rsidRDefault="00CF54E3">
            <w:pPr>
              <w:pStyle w:val="ImageCaption"/>
              <w:spacing w:before="200"/>
            </w:pPr>
            <w:r>
              <w:t>Figure 1: Visual comparison of forceps size and shape across sexes and male morphs: (a) female, (b) brachylabic male, and (c) macrolabic male. Macrolabic males display exaggerated forceps consistent with positive allometry, while brachylabic males and females exhibit relatively reduced forceps. Scale bars = 1 mm.</w:t>
            </w:r>
          </w:p>
        </w:tc>
        <w:bookmarkEnd w:id="54"/>
      </w:tr>
    </w:tbl>
    <w:p w14:paraId="41FC3724" w14:textId="77777777" w:rsidR="00142B92" w:rsidRDefault="00CF54E3">
      <w:r>
        <w:br w:type="page"/>
      </w:r>
    </w:p>
    <w:tbl>
      <w:tblPr>
        <w:tblStyle w:val="Table"/>
        <w:tblW w:w="5000" w:type="pct"/>
        <w:tblLayout w:type="fixed"/>
        <w:tblLook w:val="0000" w:firstRow="0" w:lastRow="0" w:firstColumn="0" w:lastColumn="0" w:noHBand="0" w:noVBand="0"/>
      </w:tblPr>
      <w:tblGrid>
        <w:gridCol w:w="9620"/>
      </w:tblGrid>
      <w:tr w:rsidR="00142B92" w14:paraId="68D83F84" w14:textId="77777777">
        <w:tc>
          <w:tcPr>
            <w:tcW w:w="7920" w:type="dxa"/>
          </w:tcPr>
          <w:p w14:paraId="03DC48E8" w14:textId="77777777" w:rsidR="00142B92" w:rsidRDefault="00CF54E3">
            <w:pPr>
              <w:pStyle w:val="Compact"/>
              <w:jc w:val="center"/>
            </w:pPr>
            <w:bookmarkStart w:id="55" w:name="fig-two"/>
            <w:r>
              <w:rPr>
                <w:noProof/>
              </w:rPr>
              <w:lastRenderedPageBreak/>
              <w:drawing>
                <wp:inline distT="0" distB="0" distL="0" distR="0" wp14:anchorId="7D96A673" wp14:editId="177C7AC6">
                  <wp:extent cx="3810000" cy="25400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figure_2.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34E5A42E" w14:textId="77777777" w:rsidR="00142B92" w:rsidRDefault="00CF54E3">
            <w:pPr>
              <w:pStyle w:val="ImageCaption"/>
              <w:spacing w:before="200"/>
            </w:pPr>
            <w:r>
              <w:t>Figure 2: Static allometries of forceps length as a function of pronotum length across density treatments. Females (top row) and males (bottom row) are shown separately. In males, brachylabic (solid points) and macrolabic (open points) morphs are distinguished, with diet treatments indicated by shading. Males form two clusters corresponding to morphotype, with overlap in body size between morphs. The dashed horizontal line in the male panels indicates the forceps length threshold used for morph classificati</w:t>
            </w:r>
            <w:r>
              <w:t>on.</w:t>
            </w:r>
          </w:p>
        </w:tc>
        <w:bookmarkEnd w:id="55"/>
      </w:tr>
    </w:tbl>
    <w:p w14:paraId="4B099DBE" w14:textId="77777777" w:rsidR="00142B92" w:rsidRDefault="00CF54E3">
      <w:r>
        <w:br w:type="page"/>
      </w:r>
    </w:p>
    <w:tbl>
      <w:tblPr>
        <w:tblStyle w:val="Table"/>
        <w:tblW w:w="5000" w:type="pct"/>
        <w:tblLayout w:type="fixed"/>
        <w:tblLook w:val="0000" w:firstRow="0" w:lastRow="0" w:firstColumn="0" w:lastColumn="0" w:noHBand="0" w:noVBand="0"/>
      </w:tblPr>
      <w:tblGrid>
        <w:gridCol w:w="9620"/>
      </w:tblGrid>
      <w:tr w:rsidR="00142B92" w14:paraId="7EB0BF15" w14:textId="77777777">
        <w:tc>
          <w:tcPr>
            <w:tcW w:w="7920" w:type="dxa"/>
          </w:tcPr>
          <w:p w14:paraId="4AF5665A" w14:textId="77777777" w:rsidR="00142B92" w:rsidRDefault="00CF54E3">
            <w:pPr>
              <w:pStyle w:val="Compact"/>
              <w:jc w:val="center"/>
            </w:pPr>
            <w:bookmarkStart w:id="56" w:name="fig-three"/>
            <w:r>
              <w:rPr>
                <w:noProof/>
              </w:rPr>
              <w:lastRenderedPageBreak/>
              <w:drawing>
                <wp:inline distT="0" distB="0" distL="0" distR="0" wp14:anchorId="1D7EAE1C" wp14:editId="1FEA3A25">
                  <wp:extent cx="3810000" cy="25400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_3.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43646CDA" w14:textId="77777777" w:rsidR="00142B92" w:rsidRDefault="00CF54E3">
            <w:pPr>
              <w:pStyle w:val="ImageCaption"/>
              <w:spacing w:before="200"/>
            </w:pPr>
            <w:r>
              <w:t>Figure 3: Posterior median allometric slopes (β) and 95% highest posterior density intervals relating forceps length to pronotum length for females, brachylabic males, and macrolabic males across diet and density treatments. The vertical dashed line indicates isometry (β = 1). Values greater than one indicate hyperallometry, whereas values less than one indicate hypoallometry.</w:t>
            </w:r>
          </w:p>
        </w:tc>
        <w:bookmarkEnd w:id="56"/>
      </w:tr>
      <w:bookmarkEnd w:id="16"/>
      <w:bookmarkEnd w:id="53"/>
    </w:tbl>
    <w:p w14:paraId="5D9F8B4D" w14:textId="77777777" w:rsidR="00CF54E3" w:rsidRDefault="00CF54E3"/>
    <w:sectPr w:rsidR="00CF54E3" w:rsidSect="00464596">
      <w:headerReference w:type="even" r:id="rId11"/>
      <w:headerReference w:type="default" r:id="rId12"/>
      <w:footerReference w:type="even" r:id="rId13"/>
      <w:footerReference w:type="default" r:id="rId14"/>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812708" w14:textId="77777777" w:rsidR="00CF54E3" w:rsidRDefault="00CF54E3">
      <w:pPr>
        <w:spacing w:after="0"/>
      </w:pPr>
      <w:r>
        <w:separator/>
      </w:r>
    </w:p>
  </w:endnote>
  <w:endnote w:type="continuationSeparator" w:id="0">
    <w:p w14:paraId="75A5396F" w14:textId="77777777" w:rsidR="00CF54E3" w:rsidRDefault="00CF54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16D01F03"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426D9D"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3DF2D2D1"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8E7E62"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2B089C" w14:textId="77777777" w:rsidR="00CF54E3" w:rsidRDefault="00CF54E3">
      <w:pPr>
        <w:spacing w:after="0"/>
      </w:pPr>
      <w:r>
        <w:separator/>
      </w:r>
    </w:p>
  </w:footnote>
  <w:footnote w:type="continuationSeparator" w:id="0">
    <w:p w14:paraId="62157314" w14:textId="77777777" w:rsidR="00CF54E3" w:rsidRDefault="00CF54E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0E315574"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5A7EED4"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0ED04D" w14:textId="77777777" w:rsidR="00D100A8" w:rsidRDefault="00D100A8" w:rsidP="00F25F6C">
    <w:pPr>
      <w:pStyle w:val="Header"/>
      <w:framePr w:wrap="none" w:vAnchor="text" w:hAnchor="margin" w:xAlign="right" w:y="1"/>
      <w:rPr>
        <w:rStyle w:val="PageNumber"/>
      </w:rPr>
    </w:pPr>
  </w:p>
  <w:p w14:paraId="5059E799"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2D853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68081833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42B92"/>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220F6"/>
    <w:rsid w:val="00537A4C"/>
    <w:rsid w:val="00581971"/>
    <w:rsid w:val="00590D07"/>
    <w:rsid w:val="005C4826"/>
    <w:rsid w:val="00603165"/>
    <w:rsid w:val="00615184"/>
    <w:rsid w:val="00637F1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63786"/>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CF54E3"/>
    <w:rsid w:val="00D100A8"/>
    <w:rsid w:val="00D151A9"/>
    <w:rsid w:val="00D16E09"/>
    <w:rsid w:val="00D37451"/>
    <w:rsid w:val="00D63932"/>
    <w:rsid w:val="00D700CE"/>
    <w:rsid w:val="00DB45E1"/>
    <w:rsid w:val="00DE1154"/>
    <w:rsid w:val="00E129FB"/>
    <w:rsid w:val="00E27191"/>
    <w:rsid w:val="00E315A3"/>
    <w:rsid w:val="00E377EC"/>
    <w:rsid w:val="00E42ECF"/>
    <w:rsid w:val="00E61912"/>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50F26"/>
  <w15:docId w15:val="{DB64649C-A37D-414F-B66C-CF27FBB9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25</Pages>
  <Words>5749</Words>
  <Characters>32775</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38448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structuring of weapon allometry in the European earwig.</dc:title>
  <dc:creator>Céline Ozkan2 and Clint D. Kelly1,✉</dc:creator>
  <cp:keywords/>
  <cp:lastModifiedBy>Clint Dale Kelly</cp:lastModifiedBy>
  <cp:revision>6</cp:revision>
  <dcterms:created xsi:type="dcterms:W3CDTF">2026-06-22T01:30:00Z</dcterms:created>
  <dcterms:modified xsi:type="dcterms:W3CDTF">2026-06-22T13:42:00Z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evolution.csl</vt:lpwstr>
  </property>
  <property fmtid="{D5CDD505-2E9C-101B-9397-08002B2CF9AE}" pid="8" name="file-impor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