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2.jpg" ContentType="image/jpe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demonstration.</w:t>
      </w:r>
    </w:p>
    <w:p>
      <w:pPr>
        <w:pStyle w:val="Author"/>
      </w:pPr>
      <w:r>
        <w:t xml:space="preserve">Clint D. Kelly</w:t>
      </w:r>
      <w:r>
        <w:rPr>
          <w:vertAlign w:val="superscript"/>
        </w:rPr>
        <w:t xml:space="preserve">1,✉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Département des Sciences biologiques, Université du Québec à Montréal, Montréal, Canada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Clint D. Kelly &lt;kelly.clint@uqam.ca&gt;</w:t>
        </w:r>
      </w:hyperlink>
    </w:p>
    <w:p>
      <w:r>
        <w:br w:type="page"/>
      </w:r>
    </w:p>
    <w:bookmarkStart w:id="21" w:name="abstract"/>
    <w:p>
      <w:pPr>
        <w:pStyle w:val="Heading1"/>
      </w:pPr>
      <w:r>
        <w:t xml:space="preserve">Abstract</w:t>
      </w:r>
    </w:p>
    <w:p>
      <w:r>
        <w:br w:type="page"/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bookmarkEnd w:id="22"/>
    <w:bookmarkStart w:id="25" w:name="methods"/>
    <w:p>
      <w:pPr>
        <w:pStyle w:val="Heading1"/>
      </w:pPr>
      <w:r>
        <w:t xml:space="preserve">Methods</w:t>
      </w:r>
    </w:p>
    <w:bookmarkStart w:id="23" w:name="study-animals"/>
    <w:p>
      <w:pPr>
        <w:pStyle w:val="Heading3"/>
      </w:pPr>
      <w:r>
        <w:t xml:space="preserve">Study animals</w:t>
      </w:r>
    </w:p>
    <w:bookmarkEnd w:id="23"/>
    <w:bookmarkStart w:id="24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Post-hoc contrasts are claculated wuing the R package</w:t>
      </w:r>
      <w:r>
        <w:t xml:space="preserve"> </w:t>
      </w:r>
      <w:r>
        <w:rPr>
          <w:i/>
          <w:iCs/>
        </w:rPr>
        <w:t xml:space="preserve">emmeans</w:t>
      </w:r>
      <w:r>
        <w:t xml:space="preserve"> </w:t>
      </w:r>
      <w:r>
        <w:t xml:space="preserve">(Lenth et al. 2019)</w:t>
      </w:r>
      <w:r>
        <w:t xml:space="preserve">.</w:t>
      </w:r>
    </w:p>
    <w:bookmarkEnd w:id="24"/>
    <w:bookmarkEnd w:id="25"/>
    <w:bookmarkStart w:id="27" w:name="results"/>
    <w:p>
      <w:pPr>
        <w:pStyle w:val="Heading1"/>
      </w:pPr>
      <w:r>
        <w:t xml:space="preserve">Results</w:t>
      </w:r>
    </w:p>
    <w:bookmarkStart w:id="26" w:name="sex-difference-in-development-time"/>
    <w:p>
      <w:pPr>
        <w:pStyle w:val="Heading2"/>
      </w:pPr>
      <w:r>
        <w:t xml:space="preserve">Sex difference in development time</w:t>
      </w:r>
    </w:p>
    <w:p>
      <w:pPr>
        <w:pStyle w:val="FirstParagraph"/>
      </w:pPr>
      <w:r>
        <w:t xml:space="preserve">We found a two-way interaction between diet and density (Estimate = -1.12 [-2.63, 0.39]) that was driven by high density earwigs on a poor diet requiring more time than expected to reach adulthood (interaction contrast: low density vs medium density:</w:t>
      </w:r>
      <w:r>
        <w:t xml:space="preserve"> </w:t>
      </w:r>
      <m:oMath>
        <m:r>
          <m:t>Δ</m:t>
        </m:r>
      </m:oMath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= 0.34 [-0.70, 1.47]; low density vs. high density:</w:t>
      </w:r>
      <w:r>
        <w:t xml:space="preserve"> </w:t>
      </w:r>
      <m:oMath>
        <m:r>
          <m:t>Δ</m:t>
        </m:r>
      </m:oMath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= 1.22 [0.17, 2.23; medium density vs high density:</w:t>
      </w:r>
      <w:r>
        <w:t xml:space="preserve"> </w:t>
      </w:r>
      <m:oMath>
        <m:r>
          <m:t>Δ</m:t>
        </m:r>
      </m:oMath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= 0.88 [0.13, 1.62;</w:t>
      </w:r>
      <w:r>
        <w:t xml:space="preserve"> </w:t>
      </w:r>
      <w:hyperlink w:anchor="fig-one">
        <w:r>
          <w:rPr>
            <w:rStyle w:val="Hyperlink"/>
          </w:rPr>
          <w:t xml:space="preserve">Figure 1</w:t>
        </w:r>
      </w:hyperlink>
      <w:r>
        <w:t xml:space="preserve">). We also found that individuals raised on a poor diet required more time to develop than those raised on a good diet (Estimate = -15.73, [-17.10, -14.37]).</w:t>
      </w:r>
    </w:p>
    <w:bookmarkEnd w:id="26"/>
    <w:bookmarkEnd w:id="27"/>
    <w:bookmarkStart w:id="28" w:name="discussion"/>
    <w:p>
      <w:pPr>
        <w:pStyle w:val="Heading1"/>
      </w:pPr>
      <w:r>
        <w:t xml:space="preserve">Discussion</w:t>
      </w:r>
    </w:p>
    <w:p>
      <w:r>
        <w:br w:type="page"/>
      </w:r>
    </w:p>
    <w:bookmarkEnd w:id="28"/>
    <w:bookmarkStart w:id="36" w:name="references"/>
    <w:p>
      <w:pPr>
        <w:pStyle w:val="Heading1"/>
      </w:pPr>
      <w:r>
        <w:t xml:space="preserve">References</w:t>
      </w:r>
    </w:p>
    <w:bookmarkStart w:id="30" w:name="refs"/>
    <w:bookmarkStart w:id="29" w:name="ref-lenth2019package"/>
    <w:p>
      <w:pPr>
        <w:pStyle w:val="Bibliography"/>
      </w:pPr>
      <w:r>
        <w:t xml:space="preserve">Lenth, R., H. Singmann, J. Love, P. Buerkner, and M. Herve. 2019. Package</w:t>
      </w:r>
      <w:r>
        <w:t xml:space="preserve"> </w:t>
      </w:r>
      <w:r>
        <w:t xml:space="preserve">“emmeans”</w:t>
      </w:r>
      <w:r>
        <w:t xml:space="preserve">:</w:t>
      </w:r>
      <w:r>
        <w:t xml:space="preserve"> </w:t>
      </w:r>
      <w:r>
        <w:t xml:space="preserve">E</w:t>
      </w:r>
      <w:r>
        <w:t xml:space="preserve">stimated marginal means, aka least-squares means. Compr. R Arch. Netw 1–67.</w:t>
      </w:r>
    </w:p>
    <w:bookmarkEnd w:id="29"/>
    <w:bookmarkEnd w:id="30"/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Phenotypic variance partitioning of four traits for female and male European earwig (</w:t>
            </w:r>
            <w:r>
              <w:rPr>
                <w:i/>
                <w:iCs/>
              </w:rPr>
              <w:t xml:space="preserve">Forficula auricularia</w:t>
            </w:r>
            <w:r>
              <w:t xml:space="preserve">) families raised on either a poor or good diet at low, medium, or high density. P</w:t>
            </w:r>
            <w:r>
              <w:rPr>
                <w:vertAlign w:val="superscript"/>
              </w:rPr>
              <w:t xml:space="preserve">2</w:t>
            </w:r>
            <w:r>
              <w:rPr>
                <w:vertAlign w:val="subscript"/>
              </w:rPr>
              <w:t xml:space="preserve">RN</w:t>
            </w:r>
            <w:r>
              <w:t xml:space="preserve"> </w:t>
            </w:r>
            <w:r>
              <w:t xml:space="preserve">is the proportion of the phenotypic variance arising from average plastic responses to to the nutritional environment, H</w:t>
            </w:r>
            <w:r>
              <w:rPr>
                <w:vertAlign w:val="superscript"/>
              </w:rPr>
              <w:t xml:space="preserve">2</w:t>
            </w:r>
            <w:r>
              <w:rPr>
                <w:vertAlign w:val="subscript"/>
              </w:rPr>
              <w:t xml:space="preserve">RN</w:t>
            </w:r>
            <w:r>
              <w:t xml:space="preserve"> </w:t>
            </w:r>
            <w:r>
              <w:t xml:space="preserve">is the broad-sense heritability of the trait when fully accounting for its reaction norm, and T</w:t>
            </w:r>
            <w:r>
              <w:rPr>
                <w:vertAlign w:val="superscript"/>
              </w:rPr>
              <w:t xml:space="preserve">2</w:t>
            </w:r>
            <w:r>
              <w:rPr>
                <w:vertAlign w:val="subscript"/>
              </w:rPr>
              <w:t xml:space="preserve">RN</w:t>
            </w:r>
            <w:r>
              <w:t xml:space="preserve"> </w:t>
            </w:r>
            <w:r>
              <w:t xml:space="preserve">is the proportion of the phenotypic variance explained by the plastic and genetically variable reaction norm. Numbers in brackets are 95% credible intervals (CrIs).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73"/>
              <w:gridCol w:w="1334"/>
              <w:gridCol w:w="1334"/>
              <w:gridCol w:w="1334"/>
              <w:gridCol w:w="1587"/>
              <w:gridCol w:w="267"/>
              <w:gridCol w:w="1334"/>
              <w:gridCol w:w="1334"/>
              <w:gridCol w:w="1334"/>
              <w:gridCol w:w="1587"/>
            </w:tblGrid>
            <w:tr>
              <w:trPr>
                <w:trHeight w:val="355" w:hRule="auto"/>
                <w:tblHeader/>
              </w:trPr>
              header 1
              <w:tc>
                <w:tcPr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gridSpan w:val="4"/>
                  <w:tcBorders>
                    <w:bottom w:val="single" w:sz="12" w:space="0" w:color="000000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Females</w:t>
                  </w:r>
                </w:p>
              </w:tc>
              <w:tc>
                <w:tcPr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gridSpan w:val="4"/>
                  <w:tcBorders>
                    <w:bottom w:val="single" w:sz="12" w:space="0" w:color="000000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Males</w:t>
                  </w:r>
                </w:p>
              </w:tc>
            </w:tr>
            <w:tr>
              <w:trPr>
                <w:trHeight w:val="380" w:hRule="auto"/>
                <w:tblHeader/>
              </w:trPr>
              header 2
              <w:tc>
                <w:tcPr>
                  <w:tcBorders>
                    <w:bottom w:val="single" w:sz="12" w:space="0" w:color="000000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Development time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Pronotum length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Forceps length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Relative forceps length</w:t>
                  </w:r>
                </w:p>
              </w:tc>
              <w:tc>
                <w:tcPr>
                  <w:tcBorders>
                    <w:bottom w:val="single" w:sz="12" w:space="0" w:color="000000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Development time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Pronotum length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Forceps length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Relative forceps length</w:t>
                  </w:r>
                </w:p>
              </w:tc>
            </w:tr>
            <w:tr>
              <w:trPr>
                <w:trHeight w:val="380" w:hRule="auto"/>
              </w:trPr>
              body 1
              <w:tc>
                <w:tcPr>
                  <w:gridSpan w:val="2"/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(a) Low density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77" w:hRule="auto"/>
              </w:trPr>
              body 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0.772 [0.690, 0.836]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0.497 [0.339, 0.625]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0.531 [0.362, 0.661]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0.005 [-0.034, 0.108]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0.777 [0.708, 0.830]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0.485 [0.339, 0.604]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0.426 [0.267, 0.562]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0.140 [0.009, 0.291]</w:t>
                  </w:r>
                </w:p>
              </w:tc>
            </w:tr>
            <w:tr>
              <w:trPr>
                <w:trHeight w:val="377" w:hRule="auto"/>
              </w:trPr>
              body 3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0.073 [0.010, 0.160]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0.108 [0.010, 0.263]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0.201 [0.044, 0.382]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0.337 [0.059, 0.625]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0.169 [0.112, 0.237]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0.070 [0.005, 0.195]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0.136 [0.013, 0.285]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0.098 [0.005, 0.250]</w:t>
                  </w:r>
                </w:p>
              </w:tc>
            </w:tr>
            <w:tr>
              <w:trPr>
                <w:trHeight w:val="377" w:hRule="auto"/>
              </w:trPr>
              body 4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0.845 [0.776, 0.906]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0.605 [0.454, 0.747]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0.732 [0.565, 0.857]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0.342 [0.054, 0.632]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0.946 [0.914, 0.968]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0.554 [0.419, 0.682]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0.562 [0.402, 0.708]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0.238 [0.065, 0.435]</w:t>
                  </w:r>
                </w:p>
              </w:tc>
            </w:tr>
            <w:tr>
              <w:trPr>
                <w:trHeight w:val="380" w:hRule="auto"/>
              </w:trPr>
              body 5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(b) Medium density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77" w:hRule="auto"/>
              </w:trPr>
              body 6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0.795 [0.754, 0.829]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0.446 [0.361, 0.520]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0.467 [0.385, 0.542]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0.004 [-0.007, 0.031]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0.836 [0.794, 0.871]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0.601 [0.517, 0.677]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0.540 [0.436, 0.631]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0.344 [0.212, 0.461]</w:t>
                  </w:r>
                </w:p>
              </w:tc>
            </w:tr>
            <w:tr>
              <w:trPr>
                <w:trHeight w:val="377" w:hRule="auto"/>
              </w:trPr>
              body 7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0.118 [0.086, 0.158]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0.116 [0.055, 0.185]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0.142 [0.081, 0.218]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0.133 [0.061, 0.222]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0.081 [0.049, 0.125]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0.110 [0.055, 0.182]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0.138 [0.072, 0.230]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0.128 [0.047, 0.233]</w:t>
                  </w:r>
                </w:p>
              </w:tc>
            </w:tr>
            <w:tr>
              <w:trPr>
                <w:trHeight w:val="377" w:hRule="auto"/>
              </w:trPr>
              body 8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0.913 [0.896, 0.929]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0.562 [0.472, 0.640]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0.609 [0.527, 0.683]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0.137 [0.061, 0.232]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0.918 [0.896, 0.936]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0.710 [0.638, 0.774]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0.678 [0.591, 0.757]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0.472 [0.335, 0.592]</w:t>
                  </w:r>
                </w:p>
              </w:tc>
            </w:tr>
            <w:tr>
              <w:trPr>
                <w:trHeight w:val="381" w:hRule="auto"/>
              </w:trPr>
              body 9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(c) High density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77" w:hRule="auto"/>
              </w:trPr>
              body10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0.847 [0.821, 0.872]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0.482 [0.417, 0.540]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0.492 [0.432, 0.552]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0.011 [-0.005, 0.040]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0.829 [0.795, 0.854]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0.565 [0.514, 0.613]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0.479 [0.412, 0.542]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0.277 [0.208, 0.349]</w:t>
                  </w:r>
                </w:p>
              </w:tc>
            </w:tr>
            <w:tr>
              <w:trPr>
                <w:trHeight w:val="377" w:hRule="auto"/>
              </w:trPr>
              body11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0.080 [0.059, 0.106]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0.110 [0.069, 0.155]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0.133 [0.091, 0.183]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0.129 [0.069, 0.200]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0.091 [0.067, 0.120]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0.065 [0.036, 0.102]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0.084 [0.053, 0.123]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0.100 [0.060, 0.148]</w:t>
                  </w:r>
                </w:p>
              </w:tc>
            </w:tr>
            <w:tr>
              <w:trPr>
                <w:trHeight w:val="377" w:hRule="auto"/>
              </w:trPr>
              body12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12"/>
                      <w:szCs w:val="1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bscript"/>
                      <w:sz w:val="12"/>
                      <w:szCs w:val="12"/>
                      <w:color w:val="000000"/>
                    </w:rPr>
                    <w:t xml:space="preserve">RN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0.928 [0.917, 0.937]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0.592 [0.536, 0.642]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0.625 [0.573, 0.675]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0.140 [0.077, 0.216]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0.920 [0.908, 0.931]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0.630 [0.582, 0.677]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0.563 [0.502, 0.618]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12"/>
                      <w:szCs w:val="12"/>
                      <w:color w:val="000000"/>
                    </w:rPr>
                    <w:t xml:space="preserve">0.377 [0.306, 0.446]</w:t>
                  </w:r>
                </w:p>
              </w:tc>
            </w:tr>
          </w:tbl>
          <w:bookmarkEnd w:id="31"/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r>
        <w:br w:type="page"/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continuous"/>
          <w:cols/>
        </w:sectPr>
      </w:pPr>
    </w:p>
    <w:p>
      <w:pPr>
        <w:pStyle w:val="BodyText"/>
      </w:pPr>
      <w:r>
        <w:t xml:space="preserve">##Figures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one"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_1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Mean (±95% CrI) trait sizes of female and male earwigs raised on either a poor or good diet at low, medium, or high density. * above bracket denotes that the 95% CrI of the mean difference between two density levels did not include zero whereas NS denotes that the 95% CrI of the mean difference did include zero. Sample sizes are given below data points.</w:t>
            </w:r>
          </w:p>
          <w:bookmarkEnd w:id="35"/>
        </w:tc>
      </w:tr>
    </w:tbl>
    <w:bookmarkEnd w:id="36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CB0BD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0509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E03BB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  <w:sz w:val="32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32" Target="media/rId32.jpg" /><Relationship Type="http://schemas.openxmlformats.org/officeDocument/2006/relationships/hyperlink" Id="rId20" Target="mailto:kelly.clint@uqam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kelly.clint@uqam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167</Words>
  <Characters>779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demonstration.</dc:title>
  <dc:creator>Clint D. Kelly1,✉</dc:creator>
  <cp:keywords/>
  <dcterms:created xsi:type="dcterms:W3CDTF">2026-01-30T15:22:47Z</dcterms:created>
  <dcterms:modified xsi:type="dcterms:W3CDTF">2026-01-30T15:22:47Z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evolution.csl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