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39.png" ContentType="image/png"/>
  <Override PartName="/word/media/rId151.png" ContentType="image/png"/>
  <Override PartName="/word/media/rId155.png" ContentType="image/png"/>
  <Override PartName="/word/media/rId147.png" ContentType="image/png"/>
  <Override PartName="/word/media/rId14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mosaic of locomotory and sensory trait allocation across alternative mating strategies in Wellington tree wētā</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introduction"/>
    <w:p>
      <w:pPr>
        <w:pStyle w:val="Heading1"/>
      </w:pPr>
      <w:r>
        <w:t xml:space="preserve">1. Introduction</w:t>
      </w:r>
    </w:p>
    <w:p>
      <w:pPr>
        <w:pStyle w:val="FirstParagraph"/>
      </w:pPr>
      <w:r>
        <w:t xml:space="preserve">Alternative mating strategies allow males to achieve reproductive success through divergent solutions to competition for mates. In many species, large or well-armed males defend females or reproductive resources, whereas smaller males avoid direct contests and obtain matings through sneaking, satellite behaviour or active searching</w:t>
      </w:r>
      <w:r>
        <w:t xml:space="preserve"> </w:t>
      </w:r>
      <w:r>
        <w:t xml:space="preserve">(Gross 1996; Shuster and Wade 2003; Oliveira, Taborsky, and Brockmann 2008)</w:t>
      </w:r>
      <w:r>
        <w:t xml:space="preserve">. These strategies are frequently associated with conspicuous differences in body size and weaponry, but alternative male phenotypes can differ in many additional aspects of morphology, physiology, behaviour and life history. They are therefore better understood as integrated phenotypes than as otherwise similar males differing only in the exaggerated trait used to classify them</w:t>
      </w:r>
      <w:r>
        <w:t xml:space="preserve"> </w:t>
      </w:r>
      <w:r>
        <w:t xml:space="preserve">(West-Eberhard 2003)</w:t>
      </w:r>
      <w:r>
        <w:t xml:space="preserve">. Selection should favour coordinated combinations of traits that facilitate the behaviour and ecological circumstances associated with each strategy.</w:t>
      </w:r>
    </w:p>
    <w:p>
      <w:pPr>
        <w:pStyle w:val="BodyText"/>
      </w:pPr>
      <w:r>
        <w:t xml:space="preserve">Such phenotypic integration may arise because the development of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w:t>
      </w:r>
      <w:r>
        <w:t xml:space="preserve"> </w:t>
      </w:r>
      <w:r>
        <w:t xml:space="preserve">(Tomkins, Kotiaho, and Lebas 2005; Husak and Swallow 2011)</w:t>
      </w:r>
      <w:r>
        <w:t xml:space="preserve">. Alternatively, investment in an exaggerated structure may occur at the expense of other traits when their development competes for a limited pool of resources</w:t>
      </w:r>
      <w:r>
        <w:t xml:space="preserve"> </w:t>
      </w:r>
      <w:r>
        <w:t xml:space="preserve">(Nijhout and Emlen 1998; Emlen 2001; Moczek and Nijhout 2004)</w:t>
      </w:r>
      <w:r>
        <w:t xml:space="preserve">.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w:t>
      </w:r>
      <w:r>
        <w:t xml:space="preserve"> </w:t>
      </w:r>
      <w:r>
        <w:t xml:space="preserve">(Bonduriansky and Day 2003; Tomkins, Kotiaho, and Lebas 2005)</w:t>
      </w:r>
      <w:r>
        <w:t xml:space="preserve">. These processes need not be uniform among male morphs. Developmental switches underlying alternative phenotypes can alter the covariance among traits, producing morph-specific patterns of integration even though the morphs possess the same basic anatomical structures</w:t>
      </w:r>
      <w:r>
        <w:t xml:space="preserve"> </w:t>
      </w:r>
      <w:r>
        <w:t xml:space="preserve">(Snell-Rood et al. 2010; Rohner, Macagno, and Moczek 2020)</w:t>
      </w:r>
      <w:r>
        <w:t xml:space="preserve">.</w:t>
      </w:r>
    </w:p>
    <w:p>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w:t>
      </w:r>
      <w:r>
        <w:t xml:space="preserve"> </w:t>
      </w:r>
      <w:r>
        <w:t xml:space="preserve">(Tomkins, Kotiaho, and Lebas 2005; Rohner, Macagno, and Moczek 2020)</w:t>
      </w:r>
      <w:r>
        <w:t xml:space="preserve">,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w:t>
      </w:r>
      <w:r>
        <w:t xml:space="preserve"> </w:t>
      </w:r>
      <w:r>
        <w:t xml:space="preserve">(McCullough and Emlen 2013)</w:t>
      </w:r>
      <w:r>
        <w:t xml:space="preserve">. By contrast, in the male-dimorphic stag beetle</w:t>
      </w:r>
      <w:r>
        <w:t xml:space="preserve"> </w:t>
      </w:r>
      <w:r>
        <w:rPr>
          <w:i/>
          <w:iCs/>
        </w:rPr>
        <w:t xml:space="preserve">Prosopocoilus inclinatus</w:t>
      </w:r>
      <w:r>
        <w:t xml:space="preserve">, weapon size is integrated with eye size in major males but with foreleg length in minor males</w:t>
      </w:r>
      <w:r>
        <w:t xml:space="preserve"> </w:t>
      </w:r>
      <w:r>
        <w:t xml:space="preserve">(Ito, Ohkubo, and Hasegawa 2017)</w:t>
      </w:r>
      <w:r>
        <w:t xml:space="preserve">, suggesting that the traits co-expressed with 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w:t>
      </w:r>
      <w:r>
        <w:t xml:space="preserve"> </w:t>
      </w:r>
      <w:r>
        <w:t xml:space="preserve">(Shuster and Wade 2003)</w:t>
      </w:r>
      <w:r>
        <w:t xml:space="preserve">.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w:t>
      </w:r>
      <w:r>
        <w:t xml:space="preserve"> </w:t>
      </w:r>
      <w:r>
        <w:rPr>
          <w:i/>
          <w:iCs/>
        </w:rPr>
        <w:t xml:space="preserve">Centris pallida</w:t>
      </w:r>
      <w:r>
        <w:t xml:space="preserve">, small males rely primarily on vision for mate detection while large males use chemosensory cues; correspondingly, small males possess relatively larger eyes despite their smaller body size</w:t>
      </w:r>
      <w:r>
        <w:t xml:space="preserve"> </w:t>
      </w:r>
      <w:r>
        <w:t xml:space="preserve">(Meghan Barrett et al. 2021; M. Barrett and O’Donnell 2026)</w:t>
      </w:r>
      <w:r>
        <w:t xml:space="preserve">,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pPr>
        <w:pStyle w:val="BodyText"/>
      </w:pPr>
      <w:r>
        <w:t xml:space="preserve">The Wellington tree wētā,</w:t>
      </w:r>
      <w:r>
        <w:t xml:space="preserve"> </w:t>
      </w:r>
      <w:r>
        <w:rPr>
          <w:i/>
          <w:iCs/>
        </w:rPr>
        <w:t xml:space="preserve">Hemideina crassidens</w:t>
      </w:r>
      <w:r>
        <w:t xml:space="preserve">,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w:t>
      </w:r>
      <w:r>
        <w:t xml:space="preserve"> </w:t>
      </w:r>
      <w:r>
        <w:t xml:space="preserve">(Kelly 2005, 2006; Kelly and Adams 2010)</w:t>
      </w:r>
      <w:r>
        <w:t xml:space="preserve">. Males express three genetically polymorphic, irreversible morphotypes through maturation at the eighth, ninth or tenth juvenile instar</w:t>
      </w:r>
      <w:r>
        <w:t xml:space="preserve"> </w:t>
      </w:r>
      <w:r>
        <w:t xml:space="preserve">(Nason and Kelly 2020; Kelly 2024)</w:t>
      </w:r>
      <w:r>
        <w:t xml:space="preserve">.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w:t>
      </w:r>
      <w:r>
        <w:t xml:space="preserve"> </w:t>
      </w:r>
      <w:r>
        <w:t xml:space="preserve">(Wilson and Kelly 2019; Kelly 2025)</w:t>
      </w:r>
      <w:r>
        <w:t xml:space="preserve">. The three strategies attain similar average reproductive fitness, consistent with their maintenance as a balanced polymorphism</w:t>
      </w:r>
      <w:r>
        <w:t xml:space="preserve"> </w:t>
      </w:r>
      <w:r>
        <w:t xml:space="preserve">(Nason and Kelly 2020)</w:t>
      </w:r>
      <w:r>
        <w:t xml:space="preserve">.</w:t>
      </w:r>
    </w:p>
    <w:p>
      <w:pPr>
        <w:pStyle w:val="BodyText"/>
      </w:pPr>
      <w:r>
        <w:t xml:space="preserve">Here, I tested whether these alternative male morphotypes differ in the relative expression and allometric scaling of locomotor and sensory traits. I measured the lengths of the fore-, mid- and hindlegs as indices of locomotor morphology, and I measured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I asked whether the three leg pairs show a common pattern of allocation among groups or whether particular groups disproportionately invest in specific legs, and whether any anterior-posterior shift in allocation accompanies strategy divergence. I also tested whether weapon size is positively integrated with, negatively associated with, or independent of locomotory and sensory investment within groups—a comparison that directly distinguishes positive integration from resource trade-offs and developmental decoupling.</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my framework distinguishes morphological divergence among strategies from developmental integration within them. Because morph identity in</w:t>
      </w:r>
      <w:r>
        <w:t xml:space="preserve"> </w:t>
      </w:r>
      <w:r>
        <w:rPr>
          <w:i/>
          <w:iCs/>
        </w:rPr>
        <w:t xml:space="preserve">H. crassidens</w:t>
      </w:r>
      <w:r>
        <w:t xml:space="preserve"> </w:t>
      </w:r>
      <w:r>
        <w:t xml:space="preserve">is genetically polymorphic rather than induced by nutritional condition, comparisons among morphs are also less confounded by condition-dependent morph expression than in many polyphenic systems. This multilevel approach allows me to test whether alternative strategies represent broadly coordinated phenotypes or mosaics of trait-specific modification.</w:t>
      </w:r>
    </w:p>
    <w:p>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I ask whether the alternative mating strategies of</w:t>
      </w:r>
      <w:r>
        <w:t xml:space="preserve"> </w:t>
      </w:r>
      <w:r>
        <w:rPr>
          <w:i/>
          <w:iCs/>
        </w:rPr>
        <w:t xml:space="preserve">H. crassidens</w:t>
      </w:r>
      <w:r>
        <w:t xml:space="preserve"> </w:t>
      </w:r>
      <w:r>
        <w:t xml:space="preserve">are expressed as broadly integrated phenotypes or as a mosaic of trait-specific adjustments.</w:t>
      </w:r>
    </w:p>
    <w:bookmarkEnd w:id="21"/>
    <w:bookmarkStart w:id="33" w:name="methods"/>
    <w:p>
      <w:pPr>
        <w:pStyle w:val="Heading1"/>
      </w:pPr>
      <w:r>
        <w:t xml:space="preserve">2. Methods</w:t>
      </w:r>
    </w:p>
    <w:bookmarkStart w:id="22" w:name="study-site-and-specimen-collection"/>
    <w:p>
      <w:pPr>
        <w:pStyle w:val="Heading2"/>
      </w:pPr>
      <w:r>
        <w:t xml:space="preserve">2.1 Study site and specimen collection</w:t>
      </w:r>
    </w:p>
    <w:p>
      <w:pPr>
        <w:pStyle w:val="FirstParagraph"/>
      </w:pPr>
      <w:r>
        <w:t xml:space="preserve">Adult Wellington tree wētā,</w:t>
      </w:r>
      <w:r>
        <w:t xml:space="preserve"> </w:t>
      </w:r>
      <w:r>
        <w:rPr>
          <w:i/>
          <w:iCs/>
        </w:rPr>
        <w:t xml:space="preserve">Hemideina crassidens</w:t>
      </w:r>
      <w:r>
        <w:t xml:space="preserve">, were haphazardly collected at night from vegetation on Te Pākeka/Maud Island, New Zealand (41°02′ S, 173°54′ E), during March and April of 2011 (</w:t>
      </w:r>
      <m:oMath>
        <m:r>
          <m:t>n</m:t>
        </m:r>
        <m:r>
          <m:rPr>
            <m:sty m:val="p"/>
          </m:rPr>
          <m:t>=</m:t>
        </m:r>
        <m:r>
          <m:t>74</m:t>
        </m:r>
      </m:oMath>
      <w:r>
        <w:t xml:space="preserve">), 2015 (</w:t>
      </w:r>
      <m:oMath>
        <m:r>
          <m:t>n</m:t>
        </m:r>
        <m:r>
          <m:rPr>
            <m:sty m:val="p"/>
          </m:rPr>
          <m:t>=</m:t>
        </m:r>
        <m:r>
          <m:t>123</m:t>
        </m:r>
      </m:oMath>
      <w:r>
        <w:t xml:space="preserve">) and 2016 (</w:t>
      </w:r>
      <m:oMath>
        <m:r>
          <m:t>n</m:t>
        </m:r>
        <m:r>
          <m:rPr>
            <m:sty m:val="p"/>
          </m:rPr>
          <m:t>=</m:t>
        </m:r>
        <m:r>
          <m:t>107</m:t>
        </m:r>
      </m:oMath>
      <w:r>
        <w:t xml:space="preserve">). Te Pākeka/Maud Island is a 309-ha scientific reserve in the Marlborough Sounds that is free of introduced mammalian predators. The sample collected in each year included females and males representing each of the three adult male morphotypes.</w:t>
      </w:r>
    </w:p>
    <w:p>
      <w:pPr>
        <w:pStyle w:val="BodyText"/>
      </w:pPr>
      <w:r>
        <w:t xml:space="preserve">Adult males were assigned to eighth-, ninth- or tenth-instar morphotypes from their head lengths following</w:t>
      </w:r>
      <w:r>
        <w:t xml:space="preserve"> </w:t>
      </w:r>
      <w:r>
        <w:t xml:space="preserve">Kelly and Adams (2010)</w:t>
      </w:r>
      <w:r>
        <w:t xml:space="preserve"> </w:t>
      </w:r>
      <w:r>
        <w:t xml:space="preserve">and</w:t>
      </w:r>
      <w:r>
        <w:t xml:space="preserve"> </w:t>
      </w:r>
      <w:r>
        <w:t xml:space="preserve">Kelly (2026)</w:t>
      </w:r>
      <w:r>
        <w:t xml:space="preserve">. The later parameters were derived from a trimodal mixture model of male head length</w:t>
      </w:r>
      <w:r>
        <w:t xml:space="preserve"> </w:t>
      </w:r>
      <w:r>
        <w:t xml:space="preserve">(Kelly 2026)</w:t>
      </w:r>
      <w:r>
        <w:t xml:space="preserve">.</w:t>
      </w:r>
    </w:p>
    <w:p>
      <w:pPr>
        <w:pStyle w:val="BodyText"/>
      </w:pPr>
      <w:r>
        <w:t xml:space="preserve">Following collection, individuals were euthanized by freezing at −20 °C.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2"/>
    <w:bookmarkStart w:id="23" w:name="X1a0d2b47cea79cdc5051e1cbe92c92f3858b654"/>
    <w:p>
      <w:pPr>
        <w:pStyle w:val="Heading2"/>
      </w:pPr>
      <w:r>
        <w:t xml:space="preserve">2.2 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(Schindelin et al. 2012)</w:t>
      </w:r>
      <w:r>
        <w:t xml:space="preserve">. All linear traits were measured using the straight-line tool, with measurement endpoints defined by consistent anatomical landmarks illustrated in Figure 1. Ear area was measured by tracing the perimeter of the tympanal membrane using the freehand selection tool.</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3"/>
    <w:bookmarkStart w:id="24" w:name="measurement-repeatability"/>
    <w:p>
      <w:pPr>
        <w:pStyle w:val="Heading2"/>
      </w:pPr>
      <w:r>
        <w:t xml:space="preserve">2.3 Measurement repeatability</w:t>
      </w:r>
    </w:p>
    <w:p>
      <w:pPr>
        <w:pStyle w:val="FirstParagraph"/>
      </w:pPr>
      <w:r>
        <w:t xml:space="preserve">Measurement repeatability was assessed using 48 individuals selected by stratified random sampling. Four individuals were selected from each of the 12 combinations of collection year and sex or morph group: females and eighth-, ninth- and tenth-instar males in each of the three collection years.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Gaussian linear mixed-effects models with individual identity as a random intercept. The primary, pooled model contained no fixed effects, and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p>
      <w:pPr>
        <w:pStyle w:val="FirstParagraph"/>
      </w:pPr>
      <w:r>
        <w:t xml:space="preserve">Repeatability models and bootstrap confidence intervals were fitted using</w:t>
      </w:r>
      <w:r>
        <w:t xml:space="preserve"> </w:t>
      </w:r>
      <w:r>
        <w:rPr>
          <w:b/>
          <w:bCs/>
        </w:rPr>
        <w:t xml:space="preserve">rptR</w:t>
      </w:r>
      <w:r>
        <w:t xml:space="preserve"> </w:t>
      </w:r>
      <w:r>
        <w:t xml:space="preserve">(Stoffel, Nakagawa, and Schielzeth 2017)</w:t>
      </w:r>
      <w:r>
        <w:t xml:space="preserve">. Ninety-five per cent confidence intervals were obtained from 1,000 parametric bootstrap replicates. Because females and the three male morphs differ substantially in mean morphology, each analysis was repeated with morph included as a fixed effect. These adjusted estimates quantify repeatability among individuals after removing average differences among morphs. A further model included both morph and measurement round as fixed effects to estimate consistency after accounting for systematic session differences.</w:t>
      </w:r>
    </w:p>
    <w:p>
      <w:pPr>
        <w:pStyle w:val="BodyText"/>
      </w:pPr>
      <w:r>
        <w:t xml:space="preserve">Systematic differences among measurement sessions were tested using a linear mixed-effects model containing measurement round as a three-level fixed effect and individual identity as a random intercept. Omnibus round-effect p-values were adjusted across the 11 traits using both Benjamini–Hochberg and Holm procedures, with the more conservative Holm-adjusted results used in the text. Pairwise bias was calculated as the mean within-individual difference between a later and an earlier round. Pairwise technical error of measurement was calculated as</w:t>
      </w:r>
      <w:r>
        <w:t xml:space="preserve"> </w:t>
      </w:r>
      <m:oMath>
        <m:rad>
          <m:radPr>
            <m:degHide m:val="on"/>
          </m:radPr>
          <m:deg/>
          <m:e>
            <m:r>
              <m:rPr>
                <m:sty m:val="p"/>
              </m:rPr>
              <m:t>∑</m:t>
            </m:r>
            <m:sSubSup>
              <m:e>
                <m:r>
                  <m:t>d</m:t>
                </m:r>
              </m:e>
              <m:sub>
                <m:r>
                  <m:t>i</m:t>
                </m:r>
              </m:sub>
              <m:sup>
                <m:r>
                  <m:t>2</m:t>
                </m:r>
              </m:sup>
            </m:sSubSup>
            <m:r>
              <m:rPr>
                <m:sty m:val="p"/>
              </m:rPr>
              <m:t>/</m:t>
            </m:r>
            <m:d>
              <m:dPr>
                <m:begChr m:val="("/>
                <m:sepChr m:val=""/>
                <m:endChr m:val=")"/>
                <m:grow/>
              </m:dPr>
              <m:e>
                <m:r>
                  <m:t>2</m:t>
                </m:r>
                <m:r>
                  <m:t>n</m:t>
                </m:r>
              </m:e>
            </m:d>
          </m:e>
        </m:rad>
      </m:oMath>
      <w:r>
        <w:t xml:space="preserve">, where</w:t>
      </w:r>
      <w:r>
        <w:t xml:space="preserve"> </w:t>
      </w:r>
      <m:oMath>
        <m:sSub>
          <m:e>
            <m:r>
              <m:t>d</m:t>
            </m:r>
          </m:e>
          <m:sub>
            <m:r>
              <m:t>i</m:t>
            </m:r>
          </m:sub>
        </m:sSub>
      </m:oMath>
      <w:r>
        <w:t xml:space="preserve"> </w:t>
      </w:r>
      <w:r>
        <w:t xml:space="preserve">is the within-individual difference. Overall technical error across the three rounds was the pooled within-individual standard deviation, and relative technical error was calculated as 100 times the technical error divided by the trait mean. Absolute agreement was also summarized using the two-way, single-measure ICC(A,1) among individuals with complete measurements in all three rounds. To test for drift within remeasurement sessions, signed and absolute deviations from the original measurement were regressed on randomized measurement position; these p-values were Benjamini–Hochberg adjusted separately for signed and absolute deviations.</w:t>
      </w:r>
    </w:p>
    <w:bookmarkEnd w:id="24"/>
    <w:bookmarkStart w:id="32" w:name="statistical-analysis"/>
    <w:p>
      <w:pPr>
        <w:pStyle w:val="Heading2"/>
      </w:pPr>
      <w:r>
        <w:t xml:space="preserve">2.4 Statistical analysis</w:t>
      </w:r>
    </w:p>
    <w:p>
      <w:pPr>
        <w:pStyle w:val="FirstParagraph"/>
      </w:pPr>
      <w:r>
        <w:t xml:space="preserve">All analyses were conducted in R</w:t>
      </w:r>
      <w:r>
        <w:t xml:space="preserve"> </w:t>
      </w:r>
      <w:r>
        <w:t xml:space="preserve">(R Core Team 2025)</w:t>
      </w:r>
      <w:r>
        <w:t xml:space="preserve">. Data preparation and visualization were performed using the</w:t>
      </w:r>
      <w:r>
        <w:t xml:space="preserve"> </w:t>
      </w:r>
      <w:r>
        <w:rPr>
          <w:b/>
          <w:bCs/>
        </w:rPr>
        <w:t xml:space="preserve">tidyverse</w:t>
      </w:r>
      <w:r>
        <w:t xml:space="preserve"> </w:t>
      </w:r>
      <w:r>
        <w:t xml:space="preserve">(Wickham et al. 2019)</w:t>
      </w:r>
      <w:r>
        <w:t xml:space="preserve">. Ordinary least-squares models were fitted using base R. Linear mixed-effects models were fitted using</w:t>
      </w:r>
      <w:r>
        <w:t xml:space="preserve"> </w:t>
      </w:r>
      <w:r>
        <w:rPr>
          <w:b/>
          <w:bCs/>
        </w:rPr>
        <w:t xml:space="preserve">lme4</w:t>
      </w:r>
      <w:r>
        <w:t xml:space="preserve"> </w:t>
      </w:r>
      <w:r>
        <w:t xml:space="preserve">(Bates et al. 2015)</w:t>
      </w:r>
      <w:r>
        <w:t xml:space="preserve"> </w:t>
      </w:r>
      <w:r>
        <w:t xml:space="preserve">and</w:t>
      </w:r>
      <w:r>
        <w:t xml:space="preserve"> </w:t>
      </w:r>
      <w:r>
        <w:rPr>
          <w:b/>
          <w:bCs/>
        </w:rPr>
        <w:t xml:space="preserve">lmerTest</w:t>
      </w:r>
      <w:r>
        <w:t xml:space="preserve"> </w:t>
      </w:r>
      <w:r>
        <w:t xml:space="preserve">(Kuznetsova, Brockhoff, and Christensen 2017)</w:t>
      </w:r>
      <w:r>
        <w:t xml:space="preserve">. Estimated marginal means, allometric trends and contrasts were calculated using</w:t>
      </w:r>
      <w:r>
        <w:t xml:space="preserve"> </w:t>
      </w:r>
      <w:r>
        <w:rPr>
          <w:b/>
          <w:bCs/>
        </w:rPr>
        <w:t xml:space="preserve">emmeans</w:t>
      </w:r>
      <w:r>
        <w:t xml:space="preserve"> </w:t>
      </w:r>
      <w:r>
        <w:t xml:space="preserve">(Lenth et al. 2019)</w:t>
      </w:r>
      <w:r>
        <w:t xml:space="preserve">, with Kenward–Roger approximations supported by</w:t>
      </w:r>
      <w:r>
        <w:t xml:space="preserve"> </w:t>
      </w:r>
      <w:r>
        <w:rPr>
          <w:b/>
          <w:bCs/>
        </w:rPr>
        <w:t xml:space="preserve">pbkrtest</w:t>
      </w:r>
      <w:r>
        <w:t xml:space="preserve"> </w:t>
      </w:r>
      <w:r>
        <w:t xml:space="preserve">(Halekoh and Højsgaard 2014)</w:t>
      </w:r>
      <w:r>
        <w:t xml:space="preserve">. Model diagnostics and graphical checks were produced using</w:t>
      </w:r>
      <w:r>
        <w:t xml:space="preserve"> </w:t>
      </w:r>
      <w:r>
        <w:rPr>
          <w:b/>
          <w:bCs/>
        </w:rPr>
        <w:t xml:space="preserve">performance</w:t>
      </w:r>
      <w:r>
        <w:t xml:space="preserve"> </w:t>
      </w:r>
      <w:r>
        <w:t xml:space="preserve">(Lüdecke, Ben-Shachar, et al. 2021)</w:t>
      </w:r>
      <w:r>
        <w:t xml:space="preserve">,</w:t>
      </w:r>
      <w:r>
        <w:t xml:space="preserve"> </w:t>
      </w:r>
      <w:r>
        <w:rPr>
          <w:b/>
          <w:bCs/>
        </w:rPr>
        <w:t xml:space="preserve">see</w:t>
      </w:r>
      <w:r>
        <w:t xml:space="preserve"> </w:t>
      </w:r>
      <w:r>
        <w:t xml:space="preserve">(Lüdecke, Patil, et al. 2021)</w:t>
      </w:r>
      <w:r>
        <w:t xml:space="preserve"> </w:t>
      </w:r>
      <w:r>
        <w:t xml:space="preserve">and</w:t>
      </w:r>
      <w:r>
        <w:t xml:space="preserve"> </w:t>
      </w:r>
      <w:r>
        <w:rPr>
          <w:b/>
          <w:bCs/>
        </w:rPr>
        <w:t xml:space="preserve">broom</w:t>
      </w:r>
      <w:r>
        <w:t xml:space="preserve"> </w:t>
      </w:r>
      <w:r>
        <w:t xml:space="preserve">(Robinson 2014)</w:t>
      </w:r>
      <w:r>
        <w:t xml:space="preserve">. The R version and package versions used in the analysis were recorded using</w:t>
      </w:r>
      <w:r>
        <w:t xml:space="preserve"> </w:t>
      </w:r>
      <w:r>
        <w:rPr>
          <w:rStyle w:val="VerbatimChar"/>
        </w:rPr>
        <w:t xml:space="preserve">sessionInfo()</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and sample sizes could therefore differ among analyses.</w:t>
      </w:r>
    </w:p>
    <w:bookmarkStart w:id="25" w:name="leg-allometry"/>
    <w:p>
      <w:pPr>
        <w:pStyle w:val="Heading3"/>
      </w:pPr>
      <w:r>
        <w:t xml:space="preserve">2.4.1 Leg allometry</w:t>
      </w:r>
    </w:p>
    <w:p>
      <w:pPr>
        <w:pStyle w:val="FirstParagraph"/>
      </w:pPr>
      <w:r>
        <w:t xml:space="preserve">Allometric relationships for the forelegs, midlegs and hindlegs were initially examined separately using ordinary least-squares models. For each leg pair, a common-slope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was compared with a model allowing group-specific slopes,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Partial</w:t>
      </w:r>
      <w:r>
        <w:t xml:space="preserve"> </w:t>
      </w:r>
      <m:oMath>
        <m:r>
          <m:t>F</m:t>
        </m:r>
      </m:oMath>
      <w:r>
        <w:t xml:space="preserve">-tests comparing the nested models were used to determine whether allometric slopes differed among groups. Group-specific allometric slopes and pairwise differences among slopes were estimated using</w:t>
      </w:r>
      <w:r>
        <w:t xml:space="preserve"> </w:t>
      </w:r>
      <w:r>
        <w:rPr>
          <w:rStyle w:val="VerbatimChar"/>
        </w:rPr>
        <w:t xml:space="preserve">emtrends()</w:t>
      </w:r>
      <w:r>
        <w:t xml:space="preserve">.</w:t>
      </w:r>
    </w:p>
    <w:p>
      <w:pPr>
        <w:pStyle w:val="BodyText"/>
      </w:pPr>
      <w:r>
        <w:t xml:space="preserve">The primary test of relative locomotory allocation used a repeated-trait linear mixed-effects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Individual identity was included as a random intercept to account for the nonindependence of the three leg measurements from the same specimen. The model was fitted by maximum likelihood. Fixed effects were evaluated using type III tests with Satterthwaite approximations to the denominator degrees of freedom. The three-way interaction tested whether group differences in allometric slope depended on leg identity.</w:t>
      </w:r>
    </w:p>
    <w:p>
      <w:pPr>
        <w:pStyle w:val="BodyText"/>
      </w:pPr>
      <w:r>
        <w:t xml:space="preserve">Estimated marginal means were calculated separately for each leg pair at a pronotum length of 7.2 mm. Because the response variables were log 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pPr>
        <w:pStyle w:val="BodyText"/>
      </w:pPr>
      <w:r>
        <w:t xml:space="preserve">As secondary analyses, each total-leg pattern was decomposed into its femur and tibia components. Common- and group-specific allometric models were fitted separately to the forefemur, foretibia, midfemur, midtibia, hindfemur and hindtibia. Nested-model</w:t>
      </w:r>
      <w:r>
        <w:t xml:space="preserve"> </w:t>
      </w:r>
      <m:oMath>
        <m:r>
          <m:t>F</m:t>
        </m:r>
      </m:oMath>
      <w:r>
        <w:t xml:space="preserve">-tests were used to test for group differences in slope, and group-specific slopes were estimated using</w:t>
      </w:r>
      <w:r>
        <w:t xml:space="preserve"> </w:t>
      </w:r>
      <w:r>
        <w:rPr>
          <w:rStyle w:val="VerbatimChar"/>
        </w:rPr>
        <w:t xml:space="preserve">emtrends()</w:t>
      </w:r>
      <w:r>
        <w:t xml:space="preserve">.</w:t>
      </w:r>
    </w:p>
    <w:bookmarkEnd w:id="25"/>
    <w:bookmarkStart w:id="26" w:name="relative-head-and-foretibia-size"/>
    <w:p>
      <w:pPr>
        <w:pStyle w:val="Heading3"/>
      </w:pPr>
      <w:r>
        <w:t xml:space="preserve">2.4.2 Relative head and foretibia size</w:t>
      </w:r>
    </w:p>
    <w:p>
      <w:pPr>
        <w:pStyle w:val="FirstParagraph"/>
      </w:pPr>
      <w:r>
        <w:t xml:space="preserve">Relative head size was estimated using residuals from a group-specific allometric model:</w:t>
      </w:r>
    </w:p>
    <w:p>
      <w:pPr>
        <w:pStyle w:val="BodyText"/>
      </w:pPr>
      <m:oMathPara>
        <m:oMathParaPr>
          <m:jc m:val="center"/>
        </m:oMathParaPr>
        <m:oMath>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 residual for an individual indicates whether its head was larger or smaller than expected for its pronotum size and group. Relative foretibia size was calculated analogously from the model</w:t>
      </w:r>
    </w:p>
    <w:p>
      <w:pPr>
        <w:pStyle w:val="BodyText"/>
      </w:pPr>
      <m:oMathPara>
        <m:oMathParaPr>
          <m:jc m:val="center"/>
        </m:oMathParaPr>
        <m:oMath>
          <m:r>
            <m:rPr>
              <m:sty m:val="p"/>
            </m:rPr>
            <m:t>log</m:t>
          </m:r>
          <m:d>
            <m:dPr>
              <m:begChr m:val="("/>
              <m:sepChr m:val=""/>
              <m:endChr m:val=")"/>
              <m:grow/>
            </m:dPr>
            <m:e>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These residual indices separate within-group variation in relative trait size from the large differences in absolute morphology among females and the three male morphotypes.</w:t>
      </w:r>
    </w:p>
    <w:bookmarkEnd w:id="26"/>
    <w:bookmarkStart w:id="27" w:name="Xe9b2071a138b91fc811acb13babdba6cc115e09"/>
    <w:p>
      <w:pPr>
        <w:pStyle w:val="Heading3"/>
      </w:pPr>
      <w:r>
        <w:t xml:space="preserve">2.4.3 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This prediction was tested by extending the joint leg model to include relative head size:</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Group- and leg-specific slopes relating leg length to relative head size were estimated using</w:t>
      </w:r>
      <w:r>
        <w:t xml:space="preserve"> </w:t>
      </w:r>
      <w:r>
        <w:rPr>
          <w:rStyle w:val="VerbatimChar"/>
        </w:rPr>
        <w:t xml:space="preserve">emtrends()</w:t>
      </w:r>
      <w:r>
        <w:t xml:space="preserve">. Slopes were compared among groups within each leg pair and among leg pairs within each group. A positive slope was interpreted as phenotypic integration consistent with secondary sexual trait compensation, a negative slope as evidence of a morphological trade-off, and a slope close to zero as evidence of developmental decoupling.</w:t>
      </w:r>
    </w:p>
    <w:bookmarkEnd w:id="27"/>
    <w:bookmarkStart w:id="28" w:name="body-size-adjusted-sensory-investment"/>
    <w:p>
      <w:pPr>
        <w:pStyle w:val="Heading3"/>
      </w:pPr>
      <w:r>
        <w:t xml:space="preserve">2.4.4 Body-size-adjusted sensory investment</w:t>
      </w:r>
    </w:p>
    <w:p>
      <w:pPr>
        <w:pStyle w:val="FirstParagraph"/>
      </w:pPr>
      <w:r>
        <w:t xml:space="preserve">Group differences in ear and eye investment were examined at a common structural body size. Log linearized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log-linearized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 linearized ear size. Contrasts in linearized ear size were squared after exponentiation to obtain ratios on the area scale.</w:t>
      </w:r>
    </w:p>
    <w:bookmarkEnd w:id="28"/>
    <w:bookmarkStart w:id="29" w:name="local-sensory-integration"/>
    <w:p>
      <w:pPr>
        <w:pStyle w:val="Heading3"/>
      </w:pPr>
      <w:r>
        <w:t xml:space="preserve">2.4.5 Local sensory integration</w:t>
      </w:r>
    </w:p>
    <w:p>
      <w:pPr>
        <w:pStyle w:val="FirstParagraph"/>
      </w:pPr>
      <w:r>
        <w:t xml:space="preserve">Local integration of the ear with the foretibia was tested using relative foretibia size. The full model was</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This model tested whether individuals having a larger foretibia than expected for their body size and group also had a relatively larger ear. A reduced model containing a common relative-foretibia slope was compared with the full model using a nested-model</w:t>
      </w:r>
      <w:r>
        <w:t xml:space="preserve"> </w:t>
      </w:r>
      <m:oMath>
        <m:r>
          <m:t>F</m:t>
        </m:r>
      </m:oMath>
      <w:r>
        <w:t xml:space="preserve">-test.</w:t>
      </w:r>
    </w:p>
    <w:p>
      <w:pPr>
        <w:pStyle w:val="BodyText"/>
      </w:pPr>
      <w:r>
        <w:t xml:space="preserve">Eye–head integration was tested using the corresponding model</w:t>
      </w:r>
    </w:p>
    <w:p>
      <w:pPr>
        <w:pStyle w:val="BodyText"/>
      </w:pPr>
      <m:oMathPara>
        <m:oMathParaPr>
          <m:jc m:val="center"/>
        </m:oMathParaPr>
        <m:oMath>
          <m:r>
            <m:rPr>
              <m:sty m:val="p"/>
            </m:rPr>
            <m:t>log</m:t>
          </m:r>
          <m:d>
            <m:dPr>
              <m:begChr m:val="("/>
              <m:sepChr m:val=""/>
              <m:endChr m:val=")"/>
              <m:grow/>
            </m:dPr>
            <m:e>
              <m:r>
                <m:rPr>
                  <m:sty m:val="p"/>
                </m:rPr>
                <m:t>e</m:t>
              </m:r>
              <m:r>
                <m:rPr>
                  <m:sty m:val="p"/>
                </m:rPr>
                <m:t>y</m:t>
              </m:r>
              <m:r>
                <m:rPr>
                  <m:sty m:val="p"/>
                </m:rPr>
                <m:t>e</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positive relationship between eye length and relative head size was interpreted as developmental integration, a negative relationship as evidence of a head–eye trade-off, and a relationship close to zero as evidence of developmental decoupling.</w:t>
      </w:r>
    </w:p>
    <w:p>
      <w:pPr>
        <w:pStyle w:val="BodyText"/>
      </w:pPr>
      <w:r>
        <w:t xml:space="preserve">An additional model tested direct covariance between weapon and ear investment:</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negative slope was considered consistent with a weapon–sensory trade-off, whereas a positive slope indicated phenotypic integration and a slope close to zero indicated developmental decoupling.</w:t>
      </w:r>
    </w:p>
    <w:bookmarkEnd w:id="29"/>
    <w:bookmarkStart w:id="30" w:name="contrasts-and-statistical-inference"/>
    <w:p>
      <w:pPr>
        <w:pStyle w:val="Heading3"/>
      </w:pPr>
      <w:r>
        <w:t xml:space="preserve">2.4.6 Contrasts and statistical inference</w:t>
      </w:r>
    </w:p>
    <w:p>
      <w:pPr>
        <w:pStyle w:val="FirstParagraph"/>
      </w:pPr>
      <w:r>
        <w:t xml:space="preserve">Estimated marginal means and trends are presented with 95% confidence intervals. Kenward–Roger approximations were used for degrees of freedom associated with mixed-model estimated marginal means and contrasts. Pairwise and planned contrasts were corrected using Holm’s sequential procedure within each defined family of tests. Statistical significance was evaluated at α = 0.05, but interpretation also considered estimated effect sizes, confidence intervals and the biological direction of each relationship.</w:t>
      </w:r>
    </w:p>
    <w:bookmarkEnd w:id="30"/>
    <w:bookmarkStart w:id="31" w:name="model-diagnostics"/>
    <w:p>
      <w:pPr>
        <w:pStyle w:val="Heading3"/>
      </w:pPr>
      <w:r>
        <w:t xml:space="preserve">2.4.7 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These thresholds were used only as diagnostic screening criteria and did not result in the automatic deletion of observations.</w:t>
      </w:r>
    </w:p>
    <w:bookmarkEnd w:id="31"/>
    <w:bookmarkEnd w:id="32"/>
    <w:bookmarkEnd w:id="33"/>
    <w:bookmarkStart w:id="46" w:name="results"/>
    <w:p>
      <w:pPr>
        <w:pStyle w:val="Heading1"/>
      </w:pPr>
      <w:r>
        <w:t xml:space="preserve">3. Results</w:t>
      </w:r>
    </w:p>
    <w:bookmarkStart w:id="34" w:name="measurement-repeatability-1"/>
    <w:p>
      <w:pPr>
        <w:pStyle w:val="Heading2"/>
      </w:pPr>
      <w:r>
        <w:t xml:space="preserve">3.1 Measurement repeatability</w:t>
      </w:r>
    </w:p>
    <w:p>
      <w:pPr>
        <w:pStyle w:val="FirstParagraph"/>
      </w:pPr>
      <w:r>
        <w:t xml:space="preserve">Repeatability was high for all 11 traits. Pooled estimates ranged from</w:t>
      </w:r>
      <w:r>
        <w:t xml:space="preserve"> </w:t>
      </w:r>
      <m:oMath>
        <m:r>
          <m:t>R</m:t>
        </m:r>
        <m:r>
          <m:rPr>
            <m:sty m:val="p"/>
          </m:rPr>
          <m:t>=</m:t>
        </m:r>
        <m:r>
          <m:t>0.976</m:t>
        </m:r>
      </m:oMath>
      <w:r>
        <w:t xml:space="preserve"> </w:t>
      </w:r>
      <w:r>
        <w:t xml:space="preserve">for ear area (95% CI 0.961–0.986) to</w:t>
      </w:r>
      <w:r>
        <w:t xml:space="preserve"> </w:t>
      </w:r>
      <m:oMath>
        <m:r>
          <m:t>R</m:t>
        </m:r>
        <m:r>
          <m:rPr>
            <m:sty m:val="p"/>
          </m:rPr>
          <m:t>=</m:t>
        </m:r>
        <m:r>
          <m:t>0.9997</m:t>
        </m:r>
      </m:oMath>
      <w:r>
        <w:t xml:space="preserve"> </w:t>
      </w:r>
      <w:r>
        <w:t xml:space="preserve">for head length (95% CI 0.9995–0.9998). Estimates remained high after morph was included as a fixed effect (</w:t>
      </w:r>
      <m:oMath>
        <m:r>
          <m:t>R</m:t>
        </m:r>
        <m:r>
          <m:rPr>
            <m:sty m:val="p"/>
          </m:rPr>
          <m:t>=</m:t>
        </m:r>
        <m:r>
          <m:t>0.949</m:t>
        </m:r>
      </m:oMath>
      <w:r>
        <w:t xml:space="preserve">–</w:t>
      </w:r>
      <m:oMath>
        <m:r>
          <m:t>0.996</m:t>
        </m:r>
      </m:oMath>
      <w:r>
        <w:t xml:space="preserve">); ear area again had the lowest estimate (</w:t>
      </w:r>
      <m:oMath>
        <m:r>
          <m:t>R</m:t>
        </m:r>
        <m:r>
          <m:rPr>
            <m:sty m:val="p"/>
          </m:rPr>
          <m:t>=</m:t>
        </m:r>
        <m:r>
          <m:t>0.949</m:t>
        </m:r>
      </m:oMath>
      <w:r>
        <w:t xml:space="preserve">, 95% CI 0.916–0.969). The high pooled estimates therefore did not depend only on the large mean differences among females and the three male morphs.</w:t>
      </w:r>
    </w:p>
    <w:p>
      <w:pPr>
        <w:pStyle w:val="BodyText"/>
      </w:pPr>
      <w:r>
        <w:t xml:space="preserve">A measurement-round effect remained supported after Holm adjustment for 8 traits: pronotum length, head length, head width, foretibia length, ear area, midfemur length, hindfemur length and hindtibia length (all Holm-adjusted</w:t>
      </w:r>
      <w:r>
        <w:t xml:space="preserve"> </w:t>
      </w:r>
      <m:oMath>
        <m:r>
          <m:t>p</m:t>
        </m:r>
        <m:r>
          <m:rPr>
            <m:sty m:val="p"/>
          </m:rPr>
          <m:t>≤</m:t>
        </m:r>
        <m:r>
          <m:t>0.039</m:t>
        </m:r>
      </m:oMath>
      <w:r>
        <w:t xml:space="preserve">). The shifts were small in magnitude. Overall relative technical error ranged from 0.48% to 2.57%, and absolute-agreement ICC(A,1) values ranged from 0.9765 to 0.9997. The largest pairwise bias was 2.154% for ear area; the maximum absolute bias for every other trait was no greater than 1.085%. Randomized measurement position was unrelated to either signed error (minimum Benjamini–Hochberg-adjusted</w:t>
      </w:r>
      <w:r>
        <w:t xml:space="preserve"> </w:t>
      </w:r>
      <m:oMath>
        <m:r>
          <m:t>p</m:t>
        </m:r>
        <m:r>
          <m:rPr>
            <m:sty m:val="p"/>
          </m:rPr>
          <m:t>=</m:t>
        </m:r>
        <m:r>
          <m:t>0.524</m:t>
        </m:r>
      </m:oMath>
      <w:r>
        <w:t xml:space="preserve">) or absolute error (minimum adjusted</w:t>
      </w:r>
      <w:r>
        <w:t xml:space="preserve"> </w:t>
      </w:r>
      <m:oMath>
        <m:r>
          <m:t>p</m:t>
        </m:r>
        <m:r>
          <m:rPr>
            <m:sty m:val="p"/>
          </m:rPr>
          <m:t>=</m:t>
        </m:r>
        <m:r>
          <m:t>0.867</m:t>
        </m:r>
      </m:oMath>
      <w:r>
        <w:t xml:space="preserve">). Thus, several traits showed slight session-specific shifts, but measurement error was small and absolute agreement remained high across rounds.</w:t>
      </w:r>
    </w:p>
    <w:bookmarkEnd w:id="34"/>
    <w:bookmarkStart w:id="35" w:name="sample-composition-and-body-size-overlap"/>
    <w:p>
      <w:pPr>
        <w:pStyle w:val="Heading2"/>
      </w:pPr>
      <w:r>
        <w:t xml:space="preserve">3.2 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w:t>
      </w:r>
    </w:p>
    <w:bookmarkEnd w:id="35"/>
    <w:bookmarkStart w:id="39" w:name="locomotory-morphology"/>
    <w:p>
      <w:pPr>
        <w:pStyle w:val="Heading2"/>
      </w:pPr>
      <w:r>
        <w:t xml:space="preserve">3.3 Locomotory morphology</w:t>
      </w:r>
    </w:p>
    <w:bookmarkStart w:id="36" w:name="relative-allocation-among-leg-pairs"/>
    <w:p>
      <w:pPr>
        <w:pStyle w:val="Heading3"/>
      </w:pPr>
      <w:r>
        <w:t xml:space="preserve">3.3.1 Relative allocation among leg pairs</w:t>
      </w:r>
    </w:p>
    <w:p>
      <w:pPr>
        <w:pStyle w:val="FirstParagraph"/>
      </w:pPr>
      <w:r>
        <w:t xml:space="preserve">The joint repeated-trait model showed that group differences depended strongly on leg identity (F(6, 622.86) = 100.35, p &lt; 0.001). The male developmental groups were therefore not uniformly longer- or shorter-legged than females; the magnitude and direction of group differences varied among foreleg, midleg, and hindleg pairs. There was also evidence that group-specific allometric slopes depended on leg identity (F(6, 622.72) = 2.18, p = 0.044), although this three-way effect was much weaker than the group-by-leg interaction. The body-size-by-group interaction was also supported within the joint model (F(3, 312.31) = 3.62, p = 0.013).</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escalated most strongly at the terminal instar, whereas hindleg morphology followed a shallower trajectory (see below).</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while ninth-instar males were statistically indistinguishable from the midpoint of the eighth- and tenth-instar means (foreleg intermediacy contrast: p = 0.901), consistent with their jack-of-all-trades strategy.</w:t>
      </w:r>
    </w:p>
    <w:p>
      <w:pPr>
        <w:pStyle w:val="BodyText"/>
      </w:pPr>
      <w:r>
        <w:t xml:space="preserve">The anterior-posterior allocation analysis tested whether group differences were disproportionate across leg pairs. Among the three male morphs, allocation differences between eighth- and tenth-instar males and between ninth-instar males and the male midpoint were negligible (all Holm-adjusted p ≥ 0.975). However, tenth-instar males showed a significant anterior shift in allocation relative to females: the foreleg-to-hindleg ratio in tenth-instar males exceeded that of females by 12.5% (ratio of ratios = 1.13, Holm-adjusted p &lt; 0.001), and a comparable pattern was found for all three anterior-posterior allocation contrasts (all Holm-adjusted p ≤ 0.000). This indicates that the locomotory morphology of tenth-instar conventional males is disproportionately weighted toward the anterior leg pairs relative to females.</w:t>
      </w:r>
    </w:p>
    <w:bookmarkEnd w:id="36"/>
    <w:bookmarkStart w:id="37" w:name="allometric-variation"/>
    <w:p>
      <w:pPr>
        <w:pStyle w:val="Heading3"/>
      </w:pPr>
      <w:r>
        <w:t xml:space="preserve">3.3.2 Allometric variation</w:t>
      </w:r>
    </w:p>
    <w:p>
      <w:pPr>
        <w:pStyle w:val="FirstParagraph"/>
      </w:pPr>
      <w:r>
        <w:t xml:space="preserve">Estimated allometric slopes were below one for all group-by-leg combinations, indicating negative allometry of leg length relative to pronotum length throughout. Tenth-instar males had the shallowest estimated slopes across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meaning that females and eighth-instar males had nearly parallel foreleg allometries whereas their hindleg allometries were more divergent. Other corrected slope contrasts were not clearly supported.</w:t>
      </w:r>
    </w:p>
    <w:bookmarkEnd w:id="37"/>
    <w:bookmarkStart w:id="38" w:name="femur-and-tibia-components"/>
    <w:p>
      <w:pPr>
        <w:pStyle w:val="Heading3"/>
      </w:pPr>
      <w:r>
        <w:t xml:space="preserve">3.3.3 Femur and tibia components</w:t>
      </w:r>
    </w:p>
    <w:p>
      <w:pPr>
        <w:pStyle w:val="FirstParagraph"/>
      </w:pPr>
      <w:r>
        <w:t xml:space="preserve">Group-specific allometric slopes were supported for Forefemur, Midfemur, Hindfemur, Hindtibia; the remaining segment models were adequately described by common slopes. These secondary analyses indicate which femur or tibia segments contributed to the group-level differences in total leg allometry.</w:t>
      </w:r>
    </w:p>
    <w:bookmarkEnd w:id="38"/>
    <w:bookmarkEnd w:id="39"/>
    <w:bookmarkStart w:id="40" w:name="weaponleg-integration"/>
    <w:p>
      <w:pPr>
        <w:pStyle w:val="Heading2"/>
      </w:pPr>
      <w:r>
        <w:t xml:space="preserve">3.4 Weapon–leg integration</w:t>
      </w:r>
    </w:p>
    <w:p>
      <w:pPr>
        <w:pStyle w:val="FirstParagraph"/>
      </w:pPr>
      <w:r>
        <w:t xml:space="preserve">To test whether relative weapon investment was positively integrated with leg size across groups—as predicted if weapon and locomotory traits are co-expressed rather than traded off—I extended the joint leg model to include relative head size (weapon size adjusted for pronotum length) as an additional covariate. The association was consistently positive: 11 of 12 group-by-leg combinations had 95% confidence intervals entirely above zero, and no estimated slope was negative. The three-way interaction of group, leg, and relative head size was significant (F(6, 623.0) = 5.22, p &lt; 0.001), indicating that the magnitude of weapon–leg integration varied across leg pairs and groups. The planned strategy slope contrasts, however, were uniformly non-significant after Holm adjustment, meaning that no morph showed a weapon–leg integration profile that clearly differed from the others in the planned comparisons. Taken together, these results are consistent with positive phenotypic integration between weapon and leg investment, with no evidence of a negative trade-off.</w:t>
      </w:r>
    </w:p>
    <w:bookmarkEnd w:id="40"/>
    <w:bookmarkStart w:id="44" w:name="sensory-morphology"/>
    <w:p>
      <w:pPr>
        <w:pStyle w:val="Heading2"/>
      </w:pPr>
      <w:r>
        <w:t xml:space="preserve">3.5 Sensory morphology</w:t>
      </w:r>
    </w:p>
    <w:bookmarkStart w:id="41" w:name="group-differences-at-a-common-body-size"/>
    <w:p>
      <w:pPr>
        <w:pStyle w:val="Heading3"/>
      </w:pPr>
      <w:r>
        <w:t xml:space="preserve">3.5.1 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(F(3, 305) = 0.25, p = 0.862), nor did those for eye length (F(3, 305) = 0.63, p = 0.596), justifying a common-slope model for body-size adjustment in both cases.</w:t>
      </w:r>
    </w:p>
    <w:p>
      <w:pPr>
        <w:pStyle w:val="BodyText"/>
      </w:pPr>
      <w:r>
        <w:t xml:space="preserve">At a pronotum length of 7.2 mm, tenth-instar males had tympanic organ areas that were 16.1% larger in area than females (Holm-adjusted p &lt; 0.001), while eighth-instar males had areas 13.2% smaller than tenth-instar males (Holm-adjusted p &lt; 0.001). The ninth-instar intermediacy contrast was not significant (p = 0.514). Eye length showed a larger and more pronounced gradient: tenth-instar males had eyes 27.0% longer than females (Holm-adjusted p &lt; 0.001), while eighth-instar males had eyes 13.4% shorter than tenth-instar males (Holm-adjusted p &lt; 0.001). Again, ninth-instar males were statistically intermediate (p = 0.293). In both sensory traits, the morph gradient—from eighth-instar to tenth-instar—paralleled the weapon-size gradient, with conventional tenth-instar males investing most in both sensory structures and sneak-mating eighth-instar males investing least.</w:t>
      </w:r>
    </w:p>
    <w:bookmarkEnd w:id="41"/>
    <w:bookmarkStart w:id="42" w:name="local-morphological-integration"/>
    <w:p>
      <w:pPr>
        <w:pStyle w:val="Heading3"/>
      </w:pPr>
      <w:r>
        <w:t xml:space="preserve">3.5.2 Local morphological integration</w:t>
      </w:r>
    </w:p>
    <w:p>
      <w:pPr>
        <w:pStyle w:val="FirstParagraph"/>
      </w:pPr>
      <w:r>
        <w:t xml:space="preserve">I tested whether ear and eye size were locally integrated with the morphological structures they are most closely associated with—the foretibia (for the tympanic organ) and the head capsule (for compound eyes)—after removing group-specific body-size variation from both the sensory and predictor traits. Local integration slopes did not differ significantly among groups for either the ear–foretibia relationship (F(3, 301) = 1.33, p = 0.264) or the eye–head relationship (F(3, 301) = 1.97, p = 0.118). The 95% confidence interval was entirely above zero for 4 of 4 ear–foretibia slopes and 4 of 4 eye–head slopes, indicating broadly consistent local developmental coupling. The absence of supported group differences in these slopes suggests that the ear–foretibia and eye–head integration patterns are similar across the three mating strategies and females.</w:t>
      </w:r>
    </w:p>
    <w:p>
      <w:pPr>
        <w:pStyle w:val="BodyText"/>
      </w:pPr>
      <w:r>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be interpreted as reflecting structural rather than necessarily adaptive coupling between vision and weapon investment.</w:t>
      </w:r>
    </w:p>
    <w:bookmarkEnd w:id="42"/>
    <w:bookmarkStart w:id="43" w:name="weaponsensory-covariance"/>
    <w:p>
      <w:pPr>
        <w:pStyle w:val="Heading3"/>
      </w:pPr>
      <w:r>
        <w:t xml:space="preserve">3.5.3 Weapon–sensory covariance</w:t>
      </w:r>
    </w:p>
    <w:p>
      <w:pPr>
        <w:pStyle w:val="FirstParagraph"/>
      </w:pPr>
      <w:r>
        <w:t xml:space="preserve">To directly test whether sensory investment was positively integrated with, traded off against, or decoupled from weapon investment, I regressed ear size on relative head size (weapon proxy, adjusted for body size) within each group. The group × weapon interaction for ear size was not significant (F(3, 301) = 1.34, p = 0.261), indicating a common relationship between weapon investment and ear investment across groups. The female weapon-ear slope was positive and clearly different from zero (0.397, 95% CI 0.178–0.615, p &lt; 0.001). Among the three male morphs, however, weapon-ear slopes ranged from 0.130 to 0.291 and none was individually significant at α = 0.05 (all p ≥ 0.064). This pattern—positive covariance in females, near-zero covariance in males—is consistent with developmental decoupling of ear investment from weapon investment within male morphs. There was no evidence of a trade-off (negative slope) in any group.</w:t>
      </w:r>
    </w:p>
    <w:bookmarkEnd w:id="43"/>
    <w:bookmarkEnd w:id="44"/>
    <w:bookmarkStart w:id="45" w:name="model-diagnostics-1"/>
    <w:p>
      <w:pPr>
        <w:pStyle w:val="Heading2"/>
      </w:pPr>
      <w:r>
        <w:t xml:space="preserve">3.6 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the underlying measurements had been checked. The log–log linear models and the repeated-trait mixed model were therefore retained for inference.</w:t>
      </w:r>
    </w:p>
    <w:bookmarkEnd w:id="45"/>
    <w:bookmarkEnd w:id="46"/>
    <w:bookmarkStart w:id="55" w:name="discussion"/>
    <w:p>
      <w:pPr>
        <w:pStyle w:val="Heading1"/>
      </w:pPr>
      <w:r>
        <w:t xml:space="preserve">4. Discussion</w:t>
      </w:r>
    </w:p>
    <w:p>
      <w:pPr>
        <w:pStyle w:val="FirstParagraph"/>
      </w:pPr>
      <w:r>
        <w:t xml:space="preserve">Alternative mating strategies are expected to comprise coordinated combinations of traits that support different routes to reproductive success. My results provide qualified support for this view but show that morphological coordination in Wellington tree wētā is more complex than either of my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weapon size covaried positively with leg length within nearly every group, with no evidence that exaggerated head size was associated with reduced locomotory morphology. However, this integration did not extend uniformly to sensory traits. Ear investment differed substantially among morphs but was only weakly related to relative weapon size within male morphs, while local ear–foretibia and eye–head integration was broadly conserved across groups. Alternative mating strategies in this species therefore appear to be expressed as a mosaic of trait-specific changes rather than as uniformly integrated whole-organism phenotypes.</w:t>
      </w:r>
    </w:p>
    <w:bookmarkStart w:id="47" w:name="Xbac6f5fd7f9e039449f900cdc6e3a2c6fb5c198"/>
    <w:p>
      <w:pPr>
        <w:pStyle w:val="Heading2"/>
      </w:pPr>
      <w:r>
        <w:t xml:space="preserve">4.1 Locomotory divergence among mating strategies</w:t>
      </w:r>
    </w:p>
    <w:p>
      <w:pPr>
        <w:pStyle w:val="FirstParagraph"/>
      </w:pPr>
      <w:r>
        <w:t xml:space="preserve">The three male morphs formed a consistent gradient in size-adjusted leg length, with tenth-instar males possessing the longest fore-, mid- and hindlegs and eighth-instar males the shortest. Ninth-instar males were generally intermediate and statistically indistinguishable from the midpoint between the two other male morphs. This morphological intermediacy is consistent with their proposed jack-of-all-trades strategy, in which males can either fight for galleries or circumvent larger competitors depending on the social context</w:t>
      </w:r>
      <w:r>
        <w:t xml:space="preserve"> </w:t>
      </w:r>
      <w:r>
        <w:t xml:space="preserve">(Wilson and Kelly 2019; Kelly 2025)</w:t>
      </w:r>
      <w:r>
        <w:t xml:space="preserve">.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w:t>
      </w:r>
      <w:r>
        <w:t xml:space="preserve"> </w:t>
      </w:r>
      <w:r>
        <w:t xml:space="preserve">(Tomkins, Kotiaho, and Lebas 2005; McCullough and Emlen 2013)</w:t>
      </w:r>
      <w:r>
        <w:t xml:space="preserve">. Nevertheless, the present data describe morphology rather than mechanical performance, and the proposed role of anterior legs in combat remains to be tested directly.</w:t>
      </w:r>
    </w:p>
    <w:p>
      <w:pPr>
        <w:pStyle w:val="BodyText"/>
      </w:pPr>
      <w:r>
        <w:t xml:space="preserve">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pPr>
        <w:pStyle w:val="BodyText"/>
      </w:pPr>
      <w:r>
        <w:t xml:space="preserve">All leg traits scaled hypoallometrically with pronotum length, meaning that larger individuals within each group possessed proportionally shorter legs. Tenth-instar males generally had the shallowest estimated slopes, although support for specific slope differences was limited primarily to the hindleg comparison between females and tenth-instar males. Thus, the leg differences among groups were driven more consistently by changes in trait elevation at a common body size than by wholesale reprogramming of allometric slopes. This contrasts with weapon allometry in the same population, which differs substantially among male morphs, with eighth-instar weapons scaling more steeply than those of ninth- and tenth-instar males</w:t>
      </w:r>
      <w:r>
        <w:t xml:space="preserve"> </w:t>
      </w:r>
      <w:r>
        <w:t xml:space="preserve">(Kelly 2026)</w:t>
      </w:r>
      <w:r>
        <w:t xml:space="preserve">. Locomotory and weapon morphology therefore need not share the same morph-specific scaling rules, further supporting a modular or mosaic interpretation of morphological divergence.</w:t>
      </w:r>
    </w:p>
    <w:bookmarkEnd w:id="47"/>
    <w:bookmarkStart w:id="48" w:name="positive-weaponleg-integration"/>
    <w:p>
      <w:pPr>
        <w:pStyle w:val="Heading2"/>
      </w:pPr>
      <w:r>
        <w:t xml:space="preserve">4.2 Positive weapon–leg integration</w:t>
      </w:r>
    </w:p>
    <w:p>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w:t>
      </w:r>
      <w:r>
        <w:t xml:space="preserve"> </w:t>
      </w:r>
      <w:r>
        <w:t xml:space="preserve">(Tomkins, Kotiaho, and Lebas 2005; Husak and Swallow 2011)</w:t>
      </w:r>
      <w:r>
        <w:t xml:space="preserve">.</w:t>
      </w:r>
    </w:p>
    <w:p>
      <w:pPr>
        <w:pStyle w:val="BodyText"/>
      </w:pPr>
      <w:r>
        <w:t xml:space="preserve">The present results also resemble those reported for the European earwig, another hemimetabolous insect in which male morphs differ in weapon size.</w:t>
      </w:r>
      <w:r>
        <w:t xml:space="preserve"> </w:t>
      </w:r>
      <w:r>
        <w:t xml:space="preserve">Tomkins, Kotiaho, and Lebas (2005)</w:t>
      </w:r>
      <w:r>
        <w:t xml:space="preserve"> </w:t>
      </w:r>
      <w:r>
        <w:t xml:space="preserve">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proposal. This comparison remains tentative, however, because the absence of a negative phenotypic correlation does not demonstrate the absence of an underlying allocation cost. Variation among individuals in resource acquisition can produce positive covariance among costly traits even when those traits compete for resources during development.</w:t>
      </w:r>
    </w:p>
    <w:p>
      <w:pPr>
        <w:pStyle w:val="BodyText"/>
      </w:pPr>
      <w:r>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similar slopes could be maintained by correlational selection in all groups because legs contribute to functions other than combat, including climbing, foraging, predator avoidance and mate searching. The evidence is consequently best described as positive phenotypic integration consistent with secondary sexual trait compensation, rather than as proof that longer legs evolved specifically to offset the mechanical costs of larger weapons.</w:t>
      </w:r>
    </w:p>
    <w:bookmarkEnd w:id="48"/>
    <w:bookmarkStart w:id="49" w:name="sensory-divergence-among-morphs"/>
    <w:p>
      <w:pPr>
        <w:pStyle w:val="Heading2"/>
      </w:pPr>
      <w:r>
        <w:t xml:space="preserve">4.3 Sensory divergence among morphs</w:t>
      </w:r>
    </w:p>
    <w:p>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w:t>
      </w:r>
      <w:r>
        <w:t xml:space="preserve"> </w:t>
      </w:r>
      <w:r>
        <w:rPr>
          <w:i/>
          <w:iCs/>
        </w:rPr>
        <w:t xml:space="preserve">Centris pallida</w:t>
      </w:r>
      <w:r>
        <w:t xml:space="preserve">, in which small searching males rely more strongly on visual detection and possess relatively larger eyes than large males</w:t>
      </w:r>
      <w:r>
        <w:t xml:space="preserve"> </w:t>
      </w:r>
      <w:r>
        <w:t xml:space="preserve">(Meghan Barrett et al. 2021; M. Barrett and O’Donnell 2026)</w:t>
      </w:r>
      <w:r>
        <w:t xml:space="preserve">. Sensory investment therefore cannot be predicted simply from whether a morph searches actively or defends access to females.</w:t>
      </w:r>
    </w:p>
    <w:p>
      <w:pPr>
        <w:pStyle w:val="BodyText"/>
      </w:pPr>
      <w:r>
        <w:t xml:space="preserve">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 or morph-specific exaggeration without the evolution of steeper allometric slopes, as recently demonstrated for elongated sensory antennae in crane flies</w:t>
      </w:r>
      <w:r>
        <w:t xml:space="preserve"> </w:t>
      </w:r>
      <w:r>
        <w:t xml:space="preserve">(Hirani and Bonduriansky 2026)</w:t>
      </w:r>
      <w:r>
        <w:t xml:space="preserve">.</w:t>
      </w:r>
    </w:p>
    <w:p>
      <w:pPr>
        <w:pStyle w:val="BodyText"/>
      </w:pPr>
      <w:r>
        <w:t xml:space="preserve">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 differences.</w:t>
      </w:r>
    </w:p>
    <w:bookmarkEnd w:id="49"/>
    <w:bookmarkStart w:id="50" w:name="local-integration-and-sensory-decoupling"/>
    <w:p>
      <w:pPr>
        <w:pStyle w:val="Heading2"/>
      </w:pPr>
      <w:r>
        <w:t xml:space="preserve">4.4 Local integration and sensory decoupling</w:t>
      </w:r>
    </w:p>
    <w:p>
      <w:pPr>
        <w:pStyle w:val="FirstParagraph"/>
      </w:pPr>
      <w:r>
        <w:t xml:space="preserve">Both sensory structures were positively related to the anatomical structures on which they occur. Individuals with relatively larger foretibiae possessed larger tympanic organs, and individuals with relatively larger heads possessed larger eyes. Neither local relationship differed clearly among females and the three male morphs. These results suggest that ear–foretibia and eye–head covariance forms part of a conserved anatomical or developmental architecture that is largely unaffected by male strategy expression.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pPr>
        <w:pStyle w:val="BodyText"/>
      </w:pPr>
      <w:r>
        <w:t xml:space="preserve">The relationship between weapon and ear investment provides a useful contrast. Tympanic organ area differed substantially among morphs, yet within-morph weapon–ear slopes were modest and none of the three male slopes was individually different from zero. This suggests that the developmental processes generating among-morph differences in ear size are at least partly independent of those generating variation in weapon size among males within the same morph. However, the group-by-relative-head interaction was not significant, so the fact that the female slope was individually significant whereas the male slopes were not cannot itself be interpreted as a supported difference between females and males. The conservative conclusion is that there was no evidence of a weapon–ear trade-off and limited evidence for strong within-morph integration in males.</w:t>
      </w:r>
    </w:p>
    <w:p>
      <w:pPr>
        <w:pStyle w:val="BodyText"/>
      </w:pPr>
      <w:r>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likewise found that substantial sexual divergence can be accompanied by developmental decoupling from the rest of the phenotype</w:t>
      </w:r>
      <w:r>
        <w:t xml:space="preserve"> </w:t>
      </w:r>
      <w:r>
        <w:t xml:space="preserve">(Hirani and Bonduriansky 2026)</w:t>
      </w:r>
      <w:r>
        <w:t xml:space="preserve">. Such decoupling may facilitate independent evolutionary change by reducing the extent to which enlargement of one structure alters others. In Wellington tree wētā, sensory traits appear to retain strong coupling with their immediate anatomical substrates while being more weakly connected to variation in weapon investment. Morphological integration is therefore hierarchical: strong locally, positive between weapons and legs, but comparatively weak between weapons and ears within male morphs.</w:t>
      </w:r>
    </w:p>
    <w:bookmarkEnd w:id="50"/>
    <w:bookmarkStart w:id="51" w:name="the-value-of-females-as-a-reference"/>
    <w:p>
      <w:pPr>
        <w:pStyle w:val="Heading2"/>
      </w:pPr>
      <w:r>
        <w:t xml:space="preserve">4.5 The value of females as a reference</w:t>
      </w:r>
    </w:p>
    <w:p>
      <w:pPr>
        <w:pStyle w:val="FirstParagraph"/>
      </w:pPr>
      <w:r>
        <w:t xml:space="preserve">Including females revealed features of male morphology that would have been overlooked in a male-only analysis.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These comparisons suggest that some components of the observed morphological gradient reflect male-specific divergence rather than merely the addition of successive instars.</w:t>
      </w:r>
    </w:p>
    <w:p>
      <w:pPr>
        <w:pStyle w:val="BodyText"/>
      </w:pPr>
      <w:r>
        <w:t xml:space="preserve">Females should not, however, be treated as an unselected control or as an estimate of the naturally selected optimum. Female legs and sensory structures are subject to their own 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bookmarkEnd w:id="51"/>
    <w:bookmarkStart w:id="52" w:name="X26edcc9c1e1ca899ba50b05b21bcb06dae2eaf9"/>
    <w:p>
      <w:pPr>
        <w:pStyle w:val="Heading2"/>
      </w:pPr>
      <w:r>
        <w:t xml:space="preserve">4.6 Developmental interpretation of a genetically polymorphic system</w:t>
      </w:r>
    </w:p>
    <w:p>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w:t>
      </w:r>
      <w:r>
        <w:t xml:space="preserve"> </w:t>
      </w:r>
      <w:r>
        <w:t xml:space="preserve">(Kelly 2024)</w:t>
      </w:r>
      <w:r>
        <w:t xml:space="preserve">. The leg and sensory differences observed here are therefore less readily explained as incidental consequences of condition-dependent morph determination.</w:t>
      </w:r>
    </w:p>
    <w:p>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bookmarkEnd w:id="52"/>
    <w:bookmarkStart w:id="53" w:name="limitations-and-future-directions"/>
    <w:p>
      <w:pPr>
        <w:pStyle w:val="Heading2"/>
      </w:pPr>
      <w:r>
        <w:t xml:space="preserve">4.7 Limitations and future directions</w:t>
      </w:r>
    </w:p>
    <w:p>
      <w:pPr>
        <w:pStyle w:val="FirstParagraph"/>
      </w:pPr>
      <w:r>
        <w:t xml:space="preserve">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Relationships involving relative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bookmarkEnd w:id="53"/>
    <w:bookmarkStart w:id="54" w:name="conclusions"/>
    <w:p>
      <w:pPr>
        <w:pStyle w:val="Heading2"/>
      </w:pPr>
      <w:r>
        <w:t xml:space="preserve">4.8 Conclusions</w:t>
      </w:r>
    </w:p>
    <w:p>
      <w:pPr>
        <w:pStyle w:val="FirstParagraph"/>
      </w:pPr>
      <w:r>
        <w:t xml:space="preserve">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Weapon and leg investment were positively integrated within groups, providing no evidence of a simple morphological trade-off, whereas sensory structures retained strong local anatomical integration but were comparatively weakly associated with weapon variation within male morphs. These findings show that alternative mating phenotypes can combine coordinated divergence, conserved developmental relationships and partial trait decoupling within the same organism. Distinguishing differences among morph means from patterns of covariance within morphs is therefore essential for understanding how alternative mating strategies become embodied as integrated—or partially integrated—phenotypes.</w:t>
      </w:r>
    </w:p>
    <w:bookmarkEnd w:id="54"/>
    <w:bookmarkEnd w:id="55"/>
    <w:bookmarkStart w:id="56" w:name="availability-of-data-and-material"/>
    <w:p>
      <w:pPr>
        <w:pStyle w:val="Heading1"/>
      </w:pPr>
      <w:r>
        <w:t xml:space="preserve">5. 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56"/>
    <w:bookmarkStart w:id="57" w:name="code-availability"/>
    <w:p>
      <w:pPr>
        <w:pStyle w:val="Heading1"/>
      </w:pPr>
      <w:r>
        <w:t xml:space="preserve">6. Code availability</w:t>
      </w:r>
    </w:p>
    <w:p>
      <w:pPr>
        <w:pStyle w:val="FirstParagraph"/>
      </w:pPr>
      <w:r>
        <w:t xml:space="preserve">The R code used to reproduce all analyses and figures will be available in the same Open Science Framework repository.</w:t>
      </w:r>
    </w:p>
    <w:bookmarkEnd w:id="57"/>
    <w:bookmarkStart w:id="58" w:name="author-contributions"/>
    <w:p>
      <w:pPr>
        <w:pStyle w:val="Heading1"/>
      </w:pPr>
      <w:r>
        <w:t xml:space="preserve">7. Author contributions</w:t>
      </w:r>
    </w:p>
    <w:p>
      <w:pPr>
        <w:pStyle w:val="FirstParagraph"/>
      </w:pPr>
      <w:r>
        <w:t xml:space="preserve">CDK collected and analysed the data and wrote the manuscript.</w:t>
      </w:r>
    </w:p>
    <w:bookmarkEnd w:id="58"/>
    <w:bookmarkStart w:id="59" w:name="funding"/>
    <w:p>
      <w:pPr>
        <w:pStyle w:val="Heading1"/>
      </w:pPr>
      <w:r>
        <w:t xml:space="preserve">8. Funding</w:t>
      </w:r>
    </w:p>
    <w:p>
      <w:pPr>
        <w:pStyle w:val="FirstParagraph"/>
      </w:pPr>
      <w:r>
        <w:t xml:space="preserve">The study was funded by a Discovery Grant from the Natural Sciences and Engineering Research Council of Canada (NSERC).</w:t>
      </w:r>
    </w:p>
    <w:bookmarkEnd w:id="59"/>
    <w:bookmarkStart w:id="60" w:name="ethics-approval"/>
    <w:p>
      <w:pPr>
        <w:pStyle w:val="Heading1"/>
      </w:pPr>
      <w:r>
        <w:t xml:space="preserve">9. Ethics approval</w:t>
      </w:r>
    </w:p>
    <w:p>
      <w:pPr>
        <w:pStyle w:val="FirstParagraph"/>
      </w:pPr>
      <w:r>
        <w:t xml:space="preserve">I thank the Department of Conservation of New Zealand for collection permits.</w:t>
      </w:r>
    </w:p>
    <w:bookmarkEnd w:id="60"/>
    <w:bookmarkStart w:id="61" w:name="competing-interests"/>
    <w:p>
      <w:pPr>
        <w:pStyle w:val="Heading1"/>
      </w:pPr>
      <w:r>
        <w:t xml:space="preserve">10. Competing interests</w:t>
      </w:r>
    </w:p>
    <w:p>
      <w:pPr>
        <w:pStyle w:val="FirstParagraph"/>
      </w:pPr>
      <w:r>
        <w:t xml:space="preserve">The author declares no competing interests.</w:t>
      </w:r>
    </w:p>
    <w:bookmarkEnd w:id="61"/>
    <w:bookmarkStart w:id="62" w:name="acknowledgements"/>
    <w:p>
      <w:pPr>
        <w:pStyle w:val="Heading1"/>
      </w:pPr>
      <w:r>
        <w:t xml:space="preserve">11. Acknowledgements</w:t>
      </w:r>
    </w:p>
    <w:p>
      <w:pPr>
        <w:pStyle w:val="FirstParagraph"/>
      </w:pPr>
      <w:r>
        <w:t xml:space="preserve">I thank Roxanne Chassé Bilodeau for trait photography.</w:t>
      </w:r>
    </w:p>
    <w:p>
      <w:r>
        <w:br w:type="page"/>
      </w:r>
    </w:p>
    <w:bookmarkEnd w:id="62"/>
    <w:bookmarkStart w:id="130" w:name="references"/>
    <w:p>
      <w:pPr>
        <w:pStyle w:val="Heading1"/>
      </w:pPr>
      <w:r>
        <w:t xml:space="preserve">References</w:t>
      </w:r>
    </w:p>
    <w:bookmarkStart w:id="129" w:name="refs"/>
    <w:bookmarkStart w:id="64" w:name="ref-barrett2021"/>
    <w:p>
      <w:pPr>
        <w:pStyle w:val="Bibliography"/>
      </w:pPr>
      <w:r>
        <w:t xml:space="preserve">Barrett, Meghan, Sophi Schneider, Purnima Sachdeva, Angelina Gomez, Stephen Buchmann, and Sean O’Donnell. 2021.</w:t>
      </w:r>
      <w:r>
        <w:t xml:space="preserve"> </w:t>
      </w:r>
      <w:r>
        <w:t xml:space="preserve">“Neuroanatomical Differentiation Associated with Alternative Reproductive Tactics in</w:t>
      </w:r>
      <w:r>
        <w:t xml:space="preserve"> </w:t>
      </w:r>
      <w:r>
        <w:t xml:space="preserve">Male</w:t>
      </w:r>
      <w:r>
        <w:t xml:space="preserve"> </w:t>
      </w:r>
      <w:r>
        <w:t xml:space="preserve">Arid Land Bees,</w:t>
      </w:r>
      <w:r>
        <w:t xml:space="preserve"> </w:t>
      </w:r>
      <w:r>
        <w:rPr>
          <w:i/>
          <w:iCs/>
        </w:rPr>
        <w:t xml:space="preserve">Centris</w:t>
      </w:r>
      <w:r>
        <w:t xml:space="preserve"> </w:t>
      </w:r>
      <w:r>
        <w:rPr>
          <w:i/>
          <w:iCs/>
        </w:rPr>
        <w:t xml:space="preserve">Pallida</w:t>
      </w:r>
      <w:r>
        <w:t xml:space="preserve"> </w:t>
      </w:r>
      <w:r>
        <w:t xml:space="preserve">and</w:t>
      </w:r>
      <w:r>
        <w:t xml:space="preserve"> </w:t>
      </w:r>
      <w:r>
        <w:rPr>
          <w:i/>
          <w:iCs/>
        </w:rPr>
        <w:t xml:space="preserve">Amegilla</w:t>
      </w:r>
      <w:r>
        <w:t xml:space="preserve"> </w:t>
      </w:r>
      <w:r>
        <w:rPr>
          <w:i/>
          <w:iCs/>
        </w:rPr>
        <w:t xml:space="preserve">Dawsoni</w:t>
      </w:r>
      <w:r>
        <w:t xml:space="preserve">.”</w:t>
      </w:r>
      <w:r>
        <w:t xml:space="preserve"> </w:t>
      </w:r>
      <w:r>
        <w:rPr>
          <w:i/>
          <w:iCs/>
        </w:rPr>
        <w:t xml:space="preserve">J. Comp. Physiol. A</w:t>
      </w:r>
      <w:r>
        <w:t xml:space="preserve"> </w:t>
      </w:r>
      <w:r>
        <w:t xml:space="preserve">207 (4): 497–504.</w:t>
      </w:r>
      <w:r>
        <w:t xml:space="preserve"> </w:t>
      </w:r>
      <w:hyperlink r:id="rId63">
        <w:r>
          <w:rPr>
            <w:rStyle w:val="Hyperlink"/>
          </w:rPr>
          <w:t xml:space="preserve">https://doi.org/10.1007/s00359-021-01492-4</w:t>
        </w:r>
      </w:hyperlink>
      <w:r>
        <w:t xml:space="preserve">.</w:t>
      </w:r>
    </w:p>
    <w:bookmarkEnd w:id="64"/>
    <w:bookmarkStart w:id="66" w:name="ref-barrett2026"/>
    <w:p>
      <w:pPr>
        <w:pStyle w:val="Bibliography"/>
      </w:pPr>
      <w:r>
        <w:t xml:space="preserve">Barrett, M, and S O’Donnell. 2026.</w:t>
      </w:r>
      <w:r>
        <w:t xml:space="preserve"> </w:t>
      </w:r>
      <w:r>
        <w:t xml:space="preserve">“Sex, Head Size, and</w:t>
      </w:r>
      <w:r>
        <w:t xml:space="preserve"> </w:t>
      </w:r>
      <w:r>
        <w:t xml:space="preserve">Male</w:t>
      </w:r>
      <w:r>
        <w:t xml:space="preserve"> </w:t>
      </w:r>
      <w:r>
        <w:t xml:space="preserve">Mate Location Behavior Affect Allometric Scaling of the Eyes in</w:t>
      </w:r>
      <w:r>
        <w:t xml:space="preserve"> </w:t>
      </w:r>
      <w:r>
        <w:rPr>
          <w:i/>
          <w:iCs/>
        </w:rPr>
        <w:t xml:space="preserve">Centris</w:t>
      </w:r>
      <w:r>
        <w:t xml:space="preserve"> </w:t>
      </w:r>
      <w:r>
        <w:rPr>
          <w:i/>
          <w:iCs/>
        </w:rPr>
        <w:t xml:space="preserve">Pallida</w:t>
      </w:r>
      <w:r>
        <w:t xml:space="preserve"> </w:t>
      </w:r>
      <w:r>
        <w:t xml:space="preserve">(Hymenoptera: Apidae) Bees.”</w:t>
      </w:r>
      <w:r>
        <w:t xml:space="preserve"> </w:t>
      </w:r>
      <w:r>
        <w:rPr>
          <w:i/>
          <w:iCs/>
        </w:rPr>
        <w:t xml:space="preserve">Integr. Org. Biol.</w:t>
      </w:r>
      <w:r>
        <w:t xml:space="preserve"> </w:t>
      </w:r>
      <w:r>
        <w:t xml:space="preserve">8 (1): obag016.</w:t>
      </w:r>
      <w:r>
        <w:t xml:space="preserve"> </w:t>
      </w:r>
      <w:hyperlink r:id="rId65">
        <w:r>
          <w:rPr>
            <w:rStyle w:val="Hyperlink"/>
          </w:rPr>
          <w:t xml:space="preserve">https://doi.org/10.1093/iob/obag016</w:t>
        </w:r>
      </w:hyperlink>
      <w:r>
        <w:t xml:space="preserve">.</w:t>
      </w:r>
    </w:p>
    <w:bookmarkEnd w:id="66"/>
    <w:bookmarkStart w:id="68" w:name="ref-bates2015"/>
    <w:p>
      <w:pPr>
        <w:pStyle w:val="Bibliography"/>
      </w:pPr>
      <w:r>
        <w:t xml:space="preserve">Bates, Douglas, Martin Mächler, Ben Bolker, and Steve Walker. 2015.</w:t>
      </w:r>
      <w:r>
        <w:t xml:space="preserve"> </w:t>
      </w:r>
      <w:r>
        <w:t xml:space="preserve">“Fitting Linear Mixed-Effects Models Using Lme4.”</w:t>
      </w:r>
      <w:r>
        <w:t xml:space="preserve"> </w:t>
      </w:r>
      <w:r>
        <w:rPr>
          <w:i/>
          <w:iCs/>
        </w:rPr>
        <w:t xml:space="preserve">J. Stat. Softw.</w:t>
      </w:r>
      <w:r>
        <w:t xml:space="preserve"> </w:t>
      </w:r>
      <w:r>
        <w:t xml:space="preserve">67 (1): 1–48.</w:t>
      </w:r>
      <w:r>
        <w:t xml:space="preserve"> </w:t>
      </w:r>
      <w:hyperlink r:id="rId67">
        <w:r>
          <w:rPr>
            <w:rStyle w:val="Hyperlink"/>
          </w:rPr>
          <w:t xml:space="preserve">https://doi.org/10.18637/jss.v067.i01</w:t>
        </w:r>
      </w:hyperlink>
      <w:r>
        <w:t xml:space="preserve">.</w:t>
      </w:r>
    </w:p>
    <w:bookmarkEnd w:id="68"/>
    <w:bookmarkStart w:id="69" w:name="ref-bonduriansky2003"/>
    <w:p>
      <w:pPr>
        <w:pStyle w:val="Bibliography"/>
      </w:pPr>
      <w:r>
        <w:t xml:space="preserve">Bonduriansky, R., and Troy Day. 2003.</w:t>
      </w:r>
      <w:r>
        <w:t xml:space="preserve"> </w:t>
      </w:r>
      <w:r>
        <w:t xml:space="preserve">“The Evolution of Static Allometry in Sexually Selected Traits.”</w:t>
      </w:r>
      <w:r>
        <w:t xml:space="preserve"> </w:t>
      </w:r>
      <w:r>
        <w:rPr>
          <w:i/>
          <w:iCs/>
        </w:rPr>
        <w:t xml:space="preserve">Evolution</w:t>
      </w:r>
      <w:r>
        <w:t xml:space="preserve"> </w:t>
      </w:r>
      <w:r>
        <w:t xml:space="preserve">57 (11): 2450–58.</w:t>
      </w:r>
    </w:p>
    <w:bookmarkEnd w:id="69"/>
    <w:bookmarkStart w:id="71" w:name="ref-emlen2001a"/>
    <w:p>
      <w:pPr>
        <w:pStyle w:val="Bibliography"/>
      </w:pPr>
      <w:r>
        <w:t xml:space="preserve">Emlen, D. J. 2001.</w:t>
      </w:r>
      <w:r>
        <w:t xml:space="preserve"> </w:t>
      </w:r>
      <w:r>
        <w:t xml:space="preserve">“Costs and the Diversification of Exaggerated Animal Structures.”</w:t>
      </w:r>
      <w:r>
        <w:t xml:space="preserve"> </w:t>
      </w:r>
      <w:r>
        <w:rPr>
          <w:i/>
          <w:iCs/>
        </w:rPr>
        <w:t xml:space="preserve">Science</w:t>
      </w:r>
      <w:r>
        <w:t xml:space="preserve"> </w:t>
      </w:r>
      <w:r>
        <w:t xml:space="preserve">291 (5508): 1534–36.</w:t>
      </w:r>
      <w:r>
        <w:t xml:space="preserve"> </w:t>
      </w:r>
      <w:hyperlink r:id="rId70">
        <w:r>
          <w:rPr>
            <w:rStyle w:val="Hyperlink"/>
          </w:rPr>
          <w:t xml:space="preserve">https://doi.org/10.1126/science.1056607</w:t>
        </w:r>
      </w:hyperlink>
      <w:r>
        <w:t xml:space="preserve">.</w:t>
      </w:r>
    </w:p>
    <w:bookmarkEnd w:id="71"/>
    <w:bookmarkStart w:id="73" w:name="ref-gross1996"/>
    <w:p>
      <w:pPr>
        <w:pStyle w:val="Bibliography"/>
      </w:pPr>
      <w:r>
        <w:t xml:space="preserve">Gross, M. R. 1996.</w:t>
      </w:r>
      <w:r>
        <w:t xml:space="preserve"> </w:t>
      </w:r>
      <w:r>
        <w:t xml:space="preserve">“Alternative Reproductive Strategies and Tactics: Diversity Within Sexes.”</w:t>
      </w:r>
      <w:r>
        <w:t xml:space="preserve"> </w:t>
      </w:r>
      <w:r>
        <w:rPr>
          <w:i/>
          <w:iCs/>
        </w:rPr>
        <w:t xml:space="preserve">Trends Ecol Evol</w:t>
      </w:r>
      <w:r>
        <w:t xml:space="preserve"> </w:t>
      </w:r>
      <w:r>
        <w:t xml:space="preserve">11 (2): 92–98.</w:t>
      </w:r>
      <w:r>
        <w:t xml:space="preserve"> </w:t>
      </w:r>
      <w:hyperlink r:id="rId72">
        <w:r>
          <w:rPr>
            <w:rStyle w:val="Hyperlink"/>
          </w:rPr>
          <w:t xml:space="preserve">https://doi.org/10.1016/0169-5347(96)81050-0</w:t>
        </w:r>
      </w:hyperlink>
      <w:r>
        <w:t xml:space="preserve">.</w:t>
      </w:r>
    </w:p>
    <w:bookmarkEnd w:id="73"/>
    <w:bookmarkStart w:id="75" w:name="ref-halekoh2014"/>
    <w:p>
      <w:pPr>
        <w:pStyle w:val="Bibliography"/>
      </w:pPr>
      <w:r>
        <w:t xml:space="preserve">Halekoh, Ulrich, and Søren Højsgaard. 2014.</w:t>
      </w:r>
      <w:r>
        <w:t xml:space="preserve"> </w:t>
      </w:r>
      <w:r>
        <w:t xml:space="preserve">“A</w:t>
      </w:r>
      <w:r>
        <w:t xml:space="preserve"> </w:t>
      </w:r>
      <w:r>
        <w:t xml:space="preserve">Enward-</w:t>
      </w:r>
      <w:r>
        <w:t xml:space="preserve">Oger Approximation and Parametric Bootstrap Methods for Tests in Linear Mixed Models – the</w:t>
      </w:r>
      <w:r>
        <w:t xml:space="preserve"> </w:t>
      </w:r>
      <w:r>
        <w:t xml:space="preserve"> </w:t>
      </w:r>
      <w:r>
        <w:t xml:space="preserve">Package Pbkrtest.”</w:t>
      </w:r>
      <w:r>
        <w:t xml:space="preserve"> </w:t>
      </w:r>
      <w:r>
        <w:rPr>
          <w:i/>
          <w:iCs/>
        </w:rPr>
        <w:t xml:space="preserve">J. Stat. Softw.</w:t>
      </w:r>
      <w:r>
        <w:t xml:space="preserve"> </w:t>
      </w:r>
      <w:r>
        <w:t xml:space="preserve">59: 1–32.</w:t>
      </w:r>
      <w:r>
        <w:t xml:space="preserve"> </w:t>
      </w:r>
      <w:hyperlink r:id="rId74">
        <w:r>
          <w:rPr>
            <w:rStyle w:val="Hyperlink"/>
          </w:rPr>
          <w:t xml:space="preserve">https://doi.org/10.18637/jss.v059.i09</w:t>
        </w:r>
      </w:hyperlink>
      <w:r>
        <w:t xml:space="preserve">.</w:t>
      </w:r>
    </w:p>
    <w:bookmarkEnd w:id="75"/>
    <w:bookmarkStart w:id="77" w:name="ref-hirani2026"/>
    <w:p>
      <w:pPr>
        <w:pStyle w:val="Bibliography"/>
      </w:pPr>
      <w:r>
        <w:t xml:space="preserve">Hirani, Shay, and Russell Bonduriansky. 2026.</w:t>
      </w:r>
      <w:r>
        <w:t xml:space="preserve"> </w:t>
      </w:r>
      <w:r>
        <w:t xml:space="preserve">“Scaling and Developmental Integration of a Secondary Sexual Sensory Trait.”</w:t>
      </w:r>
      <w:r>
        <w:t xml:space="preserve"> </w:t>
      </w:r>
      <w:r>
        <w:rPr>
          <w:i/>
          <w:iCs/>
        </w:rPr>
        <w:t xml:space="preserve">Evol. Ecol.</w:t>
      </w:r>
      <w:r>
        <w:t xml:space="preserve"> </w:t>
      </w:r>
      <w:r>
        <w:t xml:space="preserve">40 (1): 8–25.</w:t>
      </w:r>
      <w:r>
        <w:t xml:space="preserve"> </w:t>
      </w:r>
      <w:hyperlink r:id="rId76">
        <w:r>
          <w:rPr>
            <w:rStyle w:val="Hyperlink"/>
          </w:rPr>
          <w:t xml:space="preserve">https://doi.org/10.1007/s10682-025-10369-w</w:t>
        </w:r>
      </w:hyperlink>
      <w:r>
        <w:t xml:space="preserve">.</w:t>
      </w:r>
    </w:p>
    <w:bookmarkEnd w:id="77"/>
    <w:bookmarkStart w:id="79" w:name="ref-husak2011"/>
    <w:p>
      <w:pPr>
        <w:pStyle w:val="Bibliography"/>
      </w:pPr>
      <w:r>
        <w:t xml:space="preserve">Husak, Jerry F., and John G. Swallow. 2011.</w:t>
      </w:r>
      <w:r>
        <w:t xml:space="preserve"> </w:t>
      </w:r>
      <w:r>
        <w:t xml:space="preserve">“Compensatory Traits and the Evolution of Male Ornaments.”</w:t>
      </w:r>
      <w:r>
        <w:t xml:space="preserve"> </w:t>
      </w:r>
      <w:r>
        <w:rPr>
          <w:i/>
          <w:iCs/>
        </w:rPr>
        <w:t xml:space="preserve">Behaviour</w:t>
      </w:r>
      <w:r>
        <w:t xml:space="preserve"> </w:t>
      </w:r>
      <w:r>
        <w:t xml:space="preserve">148 (1): 1–29.</w:t>
      </w:r>
      <w:r>
        <w:t xml:space="preserve"> </w:t>
      </w:r>
      <w:hyperlink r:id="rId78">
        <w:r>
          <w:rPr>
            <w:rStyle w:val="Hyperlink"/>
          </w:rPr>
          <w:t xml:space="preserve">https://www.jstor.org/stable/25799795</w:t>
        </w:r>
      </w:hyperlink>
      <w:r>
        <w:t xml:space="preserve">.</w:t>
      </w:r>
    </w:p>
    <w:bookmarkEnd w:id="79"/>
    <w:bookmarkStart w:id="81" w:name="ref-ito2017"/>
    <w:p>
      <w:pPr>
        <w:pStyle w:val="Bibliography"/>
      </w:pPr>
      <w:r>
        <w:t xml:space="preserve">Ito, J., Y. Ohkubo, and E. Hasegawa. 2017.</w:t>
      </w:r>
      <w:r>
        <w:t xml:space="preserve"> </w:t>
      </w:r>
      <w:r>
        <w:t xml:space="preserve">“Morph-</w:t>
      </w:r>
      <w:r>
        <w:t xml:space="preserve">Specific Weapon-Correlated Traits</w:t>
      </w:r>
      <w:r>
        <w:t xml:space="preserve"> </w:t>
      </w:r>
      <w:r>
        <w:t xml:space="preserve">in a</w:t>
      </w:r>
      <w:r>
        <w:t xml:space="preserve"> </w:t>
      </w:r>
      <w:r>
        <w:t xml:space="preserve">Male Dimorphic Stag Beetle Prosopocoilus</w:t>
      </w:r>
      <w:r>
        <w:t xml:space="preserve"> </w:t>
      </w:r>
      <w:r>
        <w:t xml:space="preserve">Inclinatus, (</w:t>
      </w:r>
      <w:r>
        <w:t xml:space="preserve">Coleoptera</w:t>
      </w:r>
      <w:r>
        <w:t xml:space="preserve">:</w:t>
      </w:r>
      <w:r>
        <w:t xml:space="preserve"> </w:t>
      </w:r>
      <w:r>
        <w:t xml:space="preserve">Lucanidae</w:t>
      </w:r>
      <w:r>
        <w:t xml:space="preserve">).”</w:t>
      </w:r>
      <w:r>
        <w:t xml:space="preserve"> </w:t>
      </w:r>
      <w:r>
        <w:rPr>
          <w:i/>
          <w:iCs/>
        </w:rPr>
        <w:t xml:space="preserve">Ann. Entomol. Soc. Am.</w:t>
      </w:r>
      <w:r>
        <w:t xml:space="preserve"> </w:t>
      </w:r>
      <w:r>
        <w:t xml:space="preserve">110 (3): 281–85.</w:t>
      </w:r>
      <w:r>
        <w:t xml:space="preserve"> </w:t>
      </w:r>
      <w:hyperlink r:id="rId80">
        <w:r>
          <w:rPr>
            <w:rStyle w:val="Hyperlink"/>
          </w:rPr>
          <w:t xml:space="preserve">https://doi.org/10.1093/aesa/saw096</w:t>
        </w:r>
      </w:hyperlink>
      <w:r>
        <w:t xml:space="preserve">.</w:t>
      </w:r>
    </w:p>
    <w:bookmarkEnd w:id="81"/>
    <w:bookmarkStart w:id="83" w:name="ref-kelly2005a"/>
    <w:p>
      <w:pPr>
        <w:pStyle w:val="Bibliography"/>
      </w:pPr>
      <w:r>
        <w:t xml:space="preserve">Kelly, Clint D. 2005.</w:t>
      </w:r>
      <w:r>
        <w:t xml:space="preserve"> </w:t>
      </w:r>
      <w:r>
        <w:t xml:space="preserve">“Allometry and Sexual Selection of Male Weaponry in</w:t>
      </w:r>
      <w:r>
        <w:t xml:space="preserve"> </w:t>
      </w:r>
      <w:r>
        <w:t xml:space="preserve">Wellington</w:t>
      </w:r>
      <w:r>
        <w:t xml:space="preserve"> </w:t>
      </w:r>
      <w:r>
        <w:t xml:space="preserve">Tree Weta,</w:t>
      </w:r>
      <w:r>
        <w:t xml:space="preserve"> </w:t>
      </w:r>
      <w:r>
        <w:rPr>
          <w:i/>
          <w:iCs/>
        </w:rPr>
        <w:t xml:space="preserve">Hemideina Crassidens</w:t>
      </w:r>
      <w:r>
        <w:t xml:space="preserve">.”</w:t>
      </w:r>
      <w:r>
        <w:t xml:space="preserve"> </w:t>
      </w:r>
      <w:r>
        <w:rPr>
          <w:i/>
          <w:iCs/>
        </w:rPr>
        <w:t xml:space="preserve">Behav. Ecol.</w:t>
      </w:r>
      <w:r>
        <w:t xml:space="preserve"> </w:t>
      </w:r>
      <w:r>
        <w:t xml:space="preserve">16 (1): 145–52.</w:t>
      </w:r>
      <w:r>
        <w:t xml:space="preserve"> </w:t>
      </w:r>
      <w:hyperlink r:id="rId82">
        <w:r>
          <w:rPr>
            <w:rStyle w:val="Hyperlink"/>
          </w:rPr>
          <w:t xml:space="preserve">https://doi.org/10.1093/beheco/arh141</w:t>
        </w:r>
      </w:hyperlink>
      <w:r>
        <w:t xml:space="preserve">.</w:t>
      </w:r>
    </w:p>
    <w:bookmarkEnd w:id="83"/>
    <w:bookmarkStart w:id="85" w:name="ref-kelly2006d"/>
    <w:p>
      <w:pPr>
        <w:pStyle w:val="Bibliography"/>
      </w:pPr>
      <w:r>
        <w:t xml:space="preserve">———. 2006.</w:t>
      </w:r>
      <w:r>
        <w:t xml:space="preserve"> </w:t>
      </w:r>
      <w:r>
        <w:t xml:space="preserve">“Fighting for Harems: Assessment Strategies During Male–Male Contests in the Sexually Dimorphic</w:t>
      </w:r>
      <w:r>
        <w:t xml:space="preserve"> </w:t>
      </w:r>
      <w:r>
        <w:t xml:space="preserve">Wellington</w:t>
      </w:r>
      <w:r>
        <w:t xml:space="preserve"> </w:t>
      </w:r>
      <w:r>
        <w:t xml:space="preserve">Tree Weta.”</w:t>
      </w:r>
      <w:r>
        <w:t xml:space="preserve"> </w:t>
      </w:r>
      <w:r>
        <w:rPr>
          <w:i/>
          <w:iCs/>
        </w:rPr>
        <w:t xml:space="preserve">Anim. Behav.</w:t>
      </w:r>
      <w:r>
        <w:t xml:space="preserve"> </w:t>
      </w:r>
      <w:r>
        <w:t xml:space="preserve">72 (3): 727–36.</w:t>
      </w:r>
      <w:r>
        <w:t xml:space="preserve"> </w:t>
      </w:r>
      <w:hyperlink r:id="rId84">
        <w:r>
          <w:rPr>
            <w:rStyle w:val="Hyperlink"/>
          </w:rPr>
          <w:t xml:space="preserve">https://doi.org/10.1016/j.anbehav.2006.02.007</w:t>
        </w:r>
      </w:hyperlink>
      <w:r>
        <w:t xml:space="preserve">.</w:t>
      </w:r>
    </w:p>
    <w:bookmarkEnd w:id="85"/>
    <w:bookmarkStart w:id="87" w:name="ref-kelly2024"/>
    <w:p>
      <w:pPr>
        <w:pStyle w:val="Bibliography"/>
      </w:pPr>
      <w:r>
        <w:t xml:space="preserve">———. 2024.</w:t>
      </w:r>
      <w:r>
        <w:t xml:space="preserve"> </w:t>
      </w:r>
      <w:r>
        <w:t xml:space="preserve">“Alternative Mating Strategies in the</w:t>
      </w:r>
      <w:r>
        <w:t xml:space="preserve"> </w:t>
      </w:r>
      <w:r>
        <w:t xml:space="preserve">Wellington</w:t>
      </w:r>
      <w:r>
        <w:t xml:space="preserve"> </w:t>
      </w:r>
      <w:r>
        <w:t xml:space="preserve">Tree Weta Expressed via Genetic Polymorphism for Precocial Male Maturation.”</w:t>
      </w:r>
      <w:r>
        <w:t xml:space="preserve"> </w:t>
      </w:r>
      <w:r>
        <w:rPr>
          <w:i/>
          <w:iCs/>
        </w:rPr>
        <w:t xml:space="preserve">R. Soc. Open Sci.</w:t>
      </w:r>
      <w:r>
        <w:t xml:space="preserve"> </w:t>
      </w:r>
      <w:r>
        <w:t xml:space="preserve">11 (2): 240100.</w:t>
      </w:r>
      <w:r>
        <w:t xml:space="preserve"> </w:t>
      </w:r>
      <w:hyperlink r:id="rId86">
        <w:r>
          <w:rPr>
            <w:rStyle w:val="Hyperlink"/>
          </w:rPr>
          <w:t xml:space="preserve">https://doi.org/10.1098/rsos.240100</w:t>
        </w:r>
      </w:hyperlink>
      <w:r>
        <w:t xml:space="preserve">.</w:t>
      </w:r>
    </w:p>
    <w:bookmarkEnd w:id="87"/>
    <w:bookmarkStart w:id="89" w:name="ref-kelly2025"/>
    <w:p>
      <w:pPr>
        <w:pStyle w:val="Bibliography"/>
      </w:pPr>
      <w:r>
        <w:t xml:space="preserve">———. 2025.</w:t>
      </w:r>
      <w:r>
        <w:t xml:space="preserve"> </w:t>
      </w:r>
      <w:r>
        <w:t xml:space="preserve">“A Behaviourally Plastic Jack-of-All-Trades Mating Strategy in the</w:t>
      </w:r>
      <w:r>
        <w:t xml:space="preserve"> </w:t>
      </w:r>
      <w:r>
        <w:t xml:space="preserve">Wellington</w:t>
      </w:r>
      <w:r>
        <w:t xml:space="preserve"> </w:t>
      </w:r>
      <w:r>
        <w:t xml:space="preserve">Tree Wētā.”</w:t>
      </w:r>
      <w:r>
        <w:t xml:space="preserve"> </w:t>
      </w:r>
      <w:r>
        <w:rPr>
          <w:i/>
          <w:iCs/>
        </w:rPr>
        <w:t xml:space="preserve">Anim. Behav.</w:t>
      </w:r>
      <w:r>
        <w:t xml:space="preserve"> </w:t>
      </w:r>
      <w:r>
        <w:t xml:space="preserve">229: 123332.</w:t>
      </w:r>
      <w:r>
        <w:t xml:space="preserve"> </w:t>
      </w:r>
      <w:hyperlink r:id="rId88">
        <w:r>
          <w:rPr>
            <w:rStyle w:val="Hyperlink"/>
          </w:rPr>
          <w:t xml:space="preserve">https://doi.org/10.1016/j.anbehav.2025.123332</w:t>
        </w:r>
      </w:hyperlink>
      <w:r>
        <w:t xml:space="preserve">.</w:t>
      </w:r>
    </w:p>
    <w:bookmarkEnd w:id="89"/>
    <w:bookmarkStart w:id="91" w:name="ref-kelly2026"/>
    <w:p>
      <w:pPr>
        <w:pStyle w:val="Bibliography"/>
      </w:pPr>
      <w:r>
        <w:t xml:space="preserve">———. 2026.</w:t>
      </w:r>
      <w:r>
        <w:t xml:space="preserve"> </w:t>
      </w:r>
      <w:r>
        <w:t xml:space="preserve">“Can the Form of Sexual Selection Explain Patterns of Static Weapon Allometry Expressed by Alternative Mating Morphotypes?”</w:t>
      </w:r>
      <w:r>
        <w:t xml:space="preserve"> </w:t>
      </w:r>
      <w:r>
        <w:rPr>
          <w:i/>
          <w:iCs/>
        </w:rPr>
        <w:t xml:space="preserve">Evolution</w:t>
      </w:r>
      <w:r>
        <w:t xml:space="preserve"> </w:t>
      </w:r>
      <w:r>
        <w:t xml:space="preserve">80 (1): 191–201.</w:t>
      </w:r>
      <w:r>
        <w:t xml:space="preserve"> </w:t>
      </w:r>
      <w:hyperlink r:id="rId90">
        <w:r>
          <w:rPr>
            <w:rStyle w:val="Hyperlink"/>
          </w:rPr>
          <w:t xml:space="preserve">https://doi.org/10.1093/evolut/qpaf215</w:t>
        </w:r>
      </w:hyperlink>
      <w:r>
        <w:t xml:space="preserve">.</w:t>
      </w:r>
    </w:p>
    <w:bookmarkEnd w:id="91"/>
    <w:bookmarkStart w:id="93" w:name="ref-kelly2010"/>
    <w:p>
      <w:pPr>
        <w:pStyle w:val="Bibliography"/>
      </w:pPr>
      <w:r>
        <w:t xml:space="preserve">Kelly, Clint D., and Dean C. Adams. 2010.</w:t>
      </w:r>
      <w:r>
        <w:t xml:space="preserve"> </w:t>
      </w:r>
      <w:r>
        <w:t xml:space="preserve">“Sexual Selection, Ontogenetic Acceleration, and Hypermorphosis Generates Male Trimorphism in</w:t>
      </w:r>
      <w:r>
        <w:t xml:space="preserve"> </w:t>
      </w:r>
      <w:r>
        <w:t xml:space="preserve">Wellington</w:t>
      </w:r>
      <w:r>
        <w:t xml:space="preserve"> </w:t>
      </w:r>
      <w:r>
        <w:t xml:space="preserve">Tree Weta.”</w:t>
      </w:r>
      <w:r>
        <w:t xml:space="preserve"> </w:t>
      </w:r>
      <w:r>
        <w:rPr>
          <w:i/>
          <w:iCs/>
        </w:rPr>
        <w:t xml:space="preserve">Evol. Biol.</w:t>
      </w:r>
      <w:r>
        <w:t xml:space="preserve"> </w:t>
      </w:r>
      <w:r>
        <w:t xml:space="preserve">37 (4): 200–209.</w:t>
      </w:r>
      <w:r>
        <w:t xml:space="preserve"> </w:t>
      </w:r>
      <w:hyperlink r:id="rId92">
        <w:r>
          <w:rPr>
            <w:rStyle w:val="Hyperlink"/>
          </w:rPr>
          <w:t xml:space="preserve">https://doi.org/10.1007/s11692-010-9096-1</w:t>
        </w:r>
      </w:hyperlink>
      <w:r>
        <w:t xml:space="preserve">.</w:t>
      </w:r>
    </w:p>
    <w:bookmarkEnd w:id="93"/>
    <w:bookmarkStart w:id="95" w:name="ref-kuznetsova2017"/>
    <w:p>
      <w:pPr>
        <w:pStyle w:val="Bibliography"/>
      </w:pPr>
      <w:r>
        <w:t xml:space="preserve">Kuznetsova, Alexandra, Per B. Brockhoff, and Rune H. B. Christensen. 2017.</w:t>
      </w:r>
      <w:r>
        <w:t xml:space="preserve"> </w:t>
      </w:r>
      <w:r>
        <w:t xml:space="preserve">“</w:t>
      </w:r>
      <w:r>
        <w:rPr>
          <w:b/>
          <w:bCs/>
        </w:rPr>
        <w:t xml:space="preserve">lmerTest</w:t>
      </w:r>
      <w:r>
        <w:t xml:space="preserve"> </w:t>
      </w:r>
      <w:r>
        <w:t xml:space="preserve">Package</w:t>
      </w:r>
      <w:r>
        <w:t xml:space="preserve">:</w:t>
      </w:r>
      <w:r>
        <w:t xml:space="preserve"> </w:t>
      </w:r>
      <w:r>
        <w:t xml:space="preserve">Tests</w:t>
      </w:r>
      <w:r>
        <w:t xml:space="preserve"> </w:t>
      </w:r>
      <w:r>
        <w:t xml:space="preserve">in</w:t>
      </w:r>
      <w:r>
        <w:t xml:space="preserve"> </w:t>
      </w:r>
      <w:r>
        <w:t xml:space="preserve">Linear Mixed Effects Models</w:t>
      </w:r>
      <w:r>
        <w:t xml:space="preserve">.”</w:t>
      </w:r>
      <w:r>
        <w:t xml:space="preserve"> </w:t>
      </w:r>
      <w:r>
        <w:rPr>
          <w:i/>
          <w:iCs/>
        </w:rPr>
        <w:t xml:space="preserve">J. Stat. Softw.</w:t>
      </w:r>
      <w:r>
        <w:t xml:space="preserve"> </w:t>
      </w:r>
      <w:r>
        <w:t xml:space="preserve">82 (13).</w:t>
      </w:r>
      <w:r>
        <w:t xml:space="preserve"> </w:t>
      </w:r>
      <w:hyperlink r:id="rId94">
        <w:r>
          <w:rPr>
            <w:rStyle w:val="Hyperlink"/>
          </w:rPr>
          <w:t xml:space="preserve">https://doi.org/10.18637/jss.v082.i13</w:t>
        </w:r>
      </w:hyperlink>
      <w:r>
        <w:t xml:space="preserve">.</w:t>
      </w:r>
    </w:p>
    <w:bookmarkEnd w:id="95"/>
    <w:bookmarkStart w:id="96" w:name="ref-lenth2019package"/>
    <w:p>
      <w:pPr>
        <w:pStyle w:val="Bibliography"/>
      </w:pPr>
      <w:r>
        <w:t xml:space="preserve">Lenth, R., H. Singmann, J. Love, P. Buerkner, and M. Herve. 2019.</w:t>
      </w:r>
      <w:r>
        <w:t xml:space="preserve"> </w:t>
      </w:r>
      <w:r>
        <w:t xml:space="preserve">“Package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96"/>
    <w:bookmarkStart w:id="98" w:name="ref-ludecke2021"/>
    <w:p>
      <w:pPr>
        <w:pStyle w:val="Bibliography"/>
      </w:pPr>
      <w:r>
        <w:t xml:space="preserve">Lüdecke, Daniel, Mattan Ben-Shachar, Indrajeet Patil, Philip Waggoner, and Dominique Makowski. 2021.</w:t>
      </w:r>
      <w:r>
        <w:t xml:space="preserve"> </w:t>
      </w:r>
      <w:r>
        <w:t xml:space="preserve">“Performance: An</w:t>
      </w:r>
      <w:r>
        <w:t xml:space="preserve"> </w:t>
      </w:r>
      <w:r>
        <w:t xml:space="preserve"> </w:t>
      </w:r>
      <w:r>
        <w:t xml:space="preserve">Package for Assessment, Comparison and Testing of Statistical Models.”</w:t>
      </w:r>
      <w:r>
        <w:t xml:space="preserve"> </w:t>
      </w:r>
      <w:r>
        <w:rPr>
          <w:i/>
          <w:iCs/>
        </w:rPr>
        <w:t xml:space="preserve">J. Open Source Softw.</w:t>
      </w:r>
      <w:r>
        <w:t xml:space="preserve"> </w:t>
      </w:r>
      <w:r>
        <w:t xml:space="preserve">6 (60): 3139.</w:t>
      </w:r>
      <w:r>
        <w:t xml:space="preserve"> </w:t>
      </w:r>
      <w:hyperlink r:id="rId97">
        <w:r>
          <w:rPr>
            <w:rStyle w:val="Hyperlink"/>
          </w:rPr>
          <w:t xml:space="preserve">https://doi.org/10.21105/joss.03139</w:t>
        </w:r>
      </w:hyperlink>
      <w:r>
        <w:t xml:space="preserve">.</w:t>
      </w:r>
    </w:p>
    <w:bookmarkEnd w:id="98"/>
    <w:bookmarkStart w:id="100" w:name="ref-ludecke2021a"/>
    <w:p>
      <w:pPr>
        <w:pStyle w:val="Bibliography"/>
      </w:pPr>
      <w:r>
        <w:t xml:space="preserve">Lüdecke, Daniel, Indrajeet Patil, Mattan S. Ben-Shachar, Brenton M. Wiernik, Philip Waggoner, and Dominique Makowski. 2021.</w:t>
      </w:r>
      <w:r>
        <w:t xml:space="preserve"> </w:t>
      </w:r>
      <w:r>
        <w:t xml:space="preserve">“See:</w:t>
      </w:r>
      <w:r>
        <w:t xml:space="preserve"> </w:t>
      </w:r>
      <w:r>
        <w:t xml:space="preserve">An R Package</w:t>
      </w:r>
      <w:r>
        <w:t xml:space="preserve"> </w:t>
      </w:r>
      <w:r>
        <w:t xml:space="preserve">for</w:t>
      </w:r>
      <w:r>
        <w:t xml:space="preserve"> </w:t>
      </w:r>
      <w:r>
        <w:t xml:space="preserve">Visualizing Statistical Models</w:t>
      </w:r>
      <w:r>
        <w:t xml:space="preserve">.”</w:t>
      </w:r>
      <w:r>
        <w:t xml:space="preserve"> </w:t>
      </w:r>
      <w:r>
        <w:rPr>
          <w:i/>
          <w:iCs/>
        </w:rPr>
        <w:t xml:space="preserve">J. Open Source Softw.</w:t>
      </w:r>
      <w:r>
        <w:t xml:space="preserve"> </w:t>
      </w:r>
      <w:r>
        <w:t xml:space="preserve">6 (64): 3393.</w:t>
      </w:r>
      <w:r>
        <w:t xml:space="preserve"> </w:t>
      </w:r>
      <w:hyperlink r:id="rId99">
        <w:r>
          <w:rPr>
            <w:rStyle w:val="Hyperlink"/>
          </w:rPr>
          <w:t xml:space="preserve">https://doi.org/10.21105/joss.03393</w:t>
        </w:r>
      </w:hyperlink>
      <w:r>
        <w:t xml:space="preserve">.</w:t>
      </w:r>
    </w:p>
    <w:bookmarkEnd w:id="100"/>
    <w:bookmarkStart w:id="102" w:name="ref-mccullough2013"/>
    <w:p>
      <w:pPr>
        <w:pStyle w:val="Bibliography"/>
      </w:pPr>
      <w:r>
        <w:t xml:space="preserve">McCullough, Erin, and Douglas Emlen. 2013.</w:t>
      </w:r>
      <w:r>
        <w:t xml:space="preserve"> </w:t>
      </w:r>
      <w:r>
        <w:t xml:space="preserve">“Evaluating the Costs of a Sexually Selected Weapon:</w:t>
      </w:r>
      <w:r>
        <w:t xml:space="preserve"> </w:t>
      </w:r>
      <w:r>
        <w:t xml:space="preserve">Big</w:t>
      </w:r>
      <w:r>
        <w:t xml:space="preserve"> </w:t>
      </w:r>
      <w:r>
        <w:t xml:space="preserve">Horns at a Small Price.”</w:t>
      </w:r>
      <w:r>
        <w:t xml:space="preserve"> </w:t>
      </w:r>
      <w:r>
        <w:rPr>
          <w:i/>
          <w:iCs/>
        </w:rPr>
        <w:t xml:space="preserve">Anim. Behav.</w:t>
      </w:r>
      <w:r>
        <w:t xml:space="preserve"> </w:t>
      </w:r>
      <w:r>
        <w:t xml:space="preserve">86 (November): 977–85.</w:t>
      </w:r>
      <w:r>
        <w:t xml:space="preserve"> </w:t>
      </w:r>
      <w:hyperlink r:id="rId101">
        <w:r>
          <w:rPr>
            <w:rStyle w:val="Hyperlink"/>
          </w:rPr>
          <w:t xml:space="preserve">https://doi.org/10.1016/j.anbehav.2013.08.017</w:t>
        </w:r>
      </w:hyperlink>
      <w:r>
        <w:t xml:space="preserve">.</w:t>
      </w:r>
    </w:p>
    <w:bookmarkEnd w:id="102"/>
    <w:bookmarkStart w:id="104" w:name="ref-moczek2004"/>
    <w:p>
      <w:pPr>
        <w:pStyle w:val="Bibliography"/>
      </w:pPr>
      <w:r>
        <w:t xml:space="preserve">Moczek, Armin P., and H. Frederik Nijhout. 2004.</w:t>
      </w:r>
      <w:r>
        <w:t xml:space="preserve"> </w:t>
      </w:r>
      <w:r>
        <w:t xml:space="preserve">“Trade-Offs During the Development of Primary and Secondary Sexual Traits in a Horned Beetle.”</w:t>
      </w:r>
      <w:r>
        <w:t xml:space="preserve"> </w:t>
      </w:r>
      <w:r>
        <w:rPr>
          <w:i/>
          <w:iCs/>
        </w:rPr>
        <w:t xml:space="preserve">Am. Nat.</w:t>
      </w:r>
      <w:r>
        <w:t xml:space="preserve"> </w:t>
      </w:r>
      <w:r>
        <w:t xml:space="preserve">163 (2): 184–91.</w:t>
      </w:r>
      <w:r>
        <w:t xml:space="preserve"> </w:t>
      </w:r>
      <w:hyperlink r:id="rId103">
        <w:r>
          <w:rPr>
            <w:rStyle w:val="Hyperlink"/>
          </w:rPr>
          <w:t xml:space="preserve">https://doi.org/10.1086/381741</w:t>
        </w:r>
      </w:hyperlink>
      <w:r>
        <w:t xml:space="preserve">.</w:t>
      </w:r>
    </w:p>
    <w:bookmarkEnd w:id="104"/>
    <w:bookmarkStart w:id="106" w:name="ref-nason2020"/>
    <w:p>
      <w:pPr>
        <w:pStyle w:val="Bibliography"/>
      </w:pPr>
      <w:r>
        <w:t xml:space="preserve">Nason, Sarah E., and Clint D. Kelly. 2020.</w:t>
      </w:r>
      <w:r>
        <w:t xml:space="preserve"> </w:t>
      </w:r>
      <w:r>
        <w:t xml:space="preserve">“Equal Fitness Among Alternative Mating Strategies in a Harem Polygynous Insect.”</w:t>
      </w:r>
      <w:r>
        <w:t xml:space="preserve"> </w:t>
      </w:r>
      <w:r>
        <w:rPr>
          <w:i/>
          <w:iCs/>
        </w:rPr>
        <w:t xml:space="preserve">Proc. R. Soc. B Biol. Sci.</w:t>
      </w:r>
      <w:r>
        <w:t xml:space="preserve"> </w:t>
      </w:r>
      <w:r>
        <w:t xml:space="preserve">287 (1931): 20200975.</w:t>
      </w:r>
      <w:r>
        <w:t xml:space="preserve"> </w:t>
      </w:r>
      <w:hyperlink r:id="rId105">
        <w:r>
          <w:rPr>
            <w:rStyle w:val="Hyperlink"/>
          </w:rPr>
          <w:t xml:space="preserve">https://doi.org/10.1098/rspb.2020.0975</w:t>
        </w:r>
      </w:hyperlink>
      <w:r>
        <w:t xml:space="preserve">.</w:t>
      </w:r>
    </w:p>
    <w:bookmarkEnd w:id="106"/>
    <w:bookmarkStart w:id="108" w:name="ref-nijhout1998"/>
    <w:p>
      <w:pPr>
        <w:pStyle w:val="Bibliography"/>
      </w:pPr>
      <w:r>
        <w:t xml:space="preserve">Nijhout, H. F., and D. J. Emlen. 1998.</w:t>
      </w:r>
      <w:r>
        <w:t xml:space="preserve"> </w:t>
      </w:r>
      <w:r>
        <w:t xml:space="preserve">“Competition Among Body Parts in the Development and Evolution of Insect Morphology.”</w:t>
      </w:r>
      <w:r>
        <w:t xml:space="preserve"> </w:t>
      </w:r>
      <w:r>
        <w:rPr>
          <w:i/>
          <w:iCs/>
        </w:rPr>
        <w:t xml:space="preserve">Proc. Natl. Acad. Sci.</w:t>
      </w:r>
      <w:r>
        <w:t xml:space="preserve"> </w:t>
      </w:r>
      <w:r>
        <w:t xml:space="preserve">95 (7): 3685–89.</w:t>
      </w:r>
      <w:r>
        <w:t xml:space="preserve"> </w:t>
      </w:r>
      <w:hyperlink r:id="rId107">
        <w:r>
          <w:rPr>
            <w:rStyle w:val="Hyperlink"/>
          </w:rPr>
          <w:t xml:space="preserve">https://doi.org/10.1073/pnas.95.7.3685</w:t>
        </w:r>
      </w:hyperlink>
      <w:r>
        <w:t xml:space="preserve">.</w:t>
      </w:r>
    </w:p>
    <w:bookmarkEnd w:id="108"/>
    <w:bookmarkStart w:id="109" w:name="ref-oliveira2008"/>
    <w:p>
      <w:pPr>
        <w:pStyle w:val="Bibliography"/>
      </w:pPr>
      <w:r>
        <w:t xml:space="preserve">Oliveira, Rui F., Michael Taborsky, and H. Jane Brockmann.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109"/>
    <w:bookmarkStart w:id="110" w:name="ref-rcoreteam2025"/>
    <w:p>
      <w:pPr>
        <w:pStyle w:val="Bibliography"/>
      </w:pPr>
      <w:r>
        <w:t xml:space="preserve">R Core Team. 2025.</w:t>
      </w:r>
      <w:r>
        <w:t xml:space="preserve"> </w:t>
      </w:r>
      <w:r>
        <w:t xml:space="preserve">“R:</w:t>
      </w:r>
      <w:r>
        <w:t xml:space="preserve"> </w:t>
      </w:r>
      <w:r>
        <w:t xml:space="preserve">A</w:t>
      </w:r>
      <w:r>
        <w:t xml:space="preserve"> </w:t>
      </w:r>
      <w:r>
        <w:t xml:space="preserve">Language and Environment for Statistical Computing.”</w:t>
      </w:r>
      <w:r>
        <w:t xml:space="preserve"> </w:t>
      </w:r>
      <w:r>
        <w:t xml:space="preserve">R Foundation for Statistical Computing.</w:t>
      </w:r>
    </w:p>
    <w:bookmarkEnd w:id="110"/>
    <w:bookmarkStart w:id="112" w:name="ref-robinson2014"/>
    <w:p>
      <w:pPr>
        <w:pStyle w:val="Bibliography"/>
      </w:pPr>
      <w:r>
        <w:t xml:space="preserve">Robinson, David. 2014.</w:t>
      </w:r>
      <w:r>
        <w:t xml:space="preserve"> </w:t>
      </w:r>
      <w:r>
        <w:t xml:space="preserve">“Broom:</w:t>
      </w:r>
      <w:r>
        <w:t xml:space="preserve"> </w:t>
      </w:r>
      <w:r>
        <w:t xml:space="preserve">An R Package</w:t>
      </w:r>
      <w:r>
        <w:t xml:space="preserve"> </w:t>
      </w:r>
      <w:r>
        <w:t xml:space="preserve">for</w:t>
      </w:r>
      <w:r>
        <w:t xml:space="preserve"> </w:t>
      </w:r>
      <w:r>
        <w:t xml:space="preserve">Converting Statistical Analysis Objects Into Tidy Data Frames</w:t>
      </w:r>
      <w:r>
        <w:t xml:space="preserve">.”</w:t>
      </w:r>
      <w:r>
        <w:t xml:space="preserve"> </w:t>
      </w:r>
      <w:r>
        <w:t xml:space="preserve">arXiv.</w:t>
      </w:r>
      <w:r>
        <w:t xml:space="preserve"> </w:t>
      </w:r>
      <w:hyperlink r:id="rId111">
        <w:r>
          <w:rPr>
            <w:rStyle w:val="Hyperlink"/>
          </w:rPr>
          <w:t xml:space="preserve">https://doi.org/10.48550/arXiv.1412.3565</w:t>
        </w:r>
      </w:hyperlink>
      <w:r>
        <w:t xml:space="preserve">.</w:t>
      </w:r>
    </w:p>
    <w:bookmarkEnd w:id="112"/>
    <w:bookmarkStart w:id="114" w:name="ref-rohner2020"/>
    <w:p>
      <w:pPr>
        <w:pStyle w:val="Bibliography"/>
      </w:pPr>
      <w:r>
        <w:t xml:space="preserve">Rohner, Patrick T., Anna L. M. Macagno, and Armin P. Moczek. 2020.</w:t>
      </w:r>
      <w:r>
        <w:t xml:space="preserve"> </w:t>
      </w:r>
      <w:r>
        <w:t xml:space="preserve">“Evolution and Plasticity of Morph-Specific Integration in the Bull-Headed Dung Beetle</w:t>
      </w:r>
      <w:r>
        <w:t xml:space="preserve"> </w:t>
      </w:r>
      <w:r>
        <w:rPr>
          <w:i/>
          <w:iCs/>
        </w:rPr>
        <w:t xml:space="preserve">Onthophagus</w:t>
      </w:r>
      <w:r>
        <w:t xml:space="preserve"> </w:t>
      </w:r>
      <w:r>
        <w:rPr>
          <w:i/>
          <w:iCs/>
        </w:rPr>
        <w:t xml:space="preserve">Taurus</w:t>
      </w:r>
      <w:r>
        <w:t xml:space="preserve">.”</w:t>
      </w:r>
      <w:r>
        <w:t xml:space="preserve"> </w:t>
      </w:r>
      <w:r>
        <w:rPr>
          <w:i/>
          <w:iCs/>
        </w:rPr>
        <w:t xml:space="preserve">Ecol. Evol.</w:t>
      </w:r>
      <w:r>
        <w:t xml:space="preserve"> </w:t>
      </w:r>
      <w:r>
        <w:t xml:space="preserve">10 (19): 10558–70.</w:t>
      </w:r>
      <w:r>
        <w:t xml:space="preserve"> </w:t>
      </w:r>
      <w:hyperlink r:id="rId113">
        <w:r>
          <w:rPr>
            <w:rStyle w:val="Hyperlink"/>
          </w:rPr>
          <w:t xml:space="preserve">https://doi.org/10.1002/ece3.6711</w:t>
        </w:r>
      </w:hyperlink>
      <w:r>
        <w:t xml:space="preserve">.</w:t>
      </w:r>
    </w:p>
    <w:bookmarkEnd w:id="114"/>
    <w:bookmarkStart w:id="116" w:name="ref-schindelin2012"/>
    <w:p>
      <w:pPr>
        <w:pStyle w:val="Bibliography"/>
      </w:pPr>
      <w:r>
        <w:t xml:space="preserve">Schindelin, Johannes, Ignacio Arganda-Carreras, Erwin Frise, Verena Kaynig, Mark Longair, Tobias Pietzsch, Stephan Preibisch, et al. 2012.</w:t>
      </w:r>
      <w:r>
        <w:t xml:space="preserve"> </w:t>
      </w:r>
      <w:r>
        <w:t xml:space="preserve">“Fiji: An Open-Source Platform for Biological-Image Analysis.”</w:t>
      </w:r>
      <w:r>
        <w:t xml:space="preserve"> </w:t>
      </w:r>
      <w:r>
        <w:rPr>
          <w:i/>
          <w:iCs/>
        </w:rPr>
        <w:t xml:space="preserve">Nat. Methods</w:t>
      </w:r>
      <w:r>
        <w:t xml:space="preserve"> </w:t>
      </w:r>
      <w:r>
        <w:t xml:space="preserve">9 (7): 676–82.</w:t>
      </w:r>
      <w:r>
        <w:t xml:space="preserve"> </w:t>
      </w:r>
      <w:hyperlink r:id="rId115">
        <w:r>
          <w:rPr>
            <w:rStyle w:val="Hyperlink"/>
          </w:rPr>
          <w:t xml:space="preserve">https://doi.org/10.1038/nmeth.2019</w:t>
        </w:r>
      </w:hyperlink>
      <w:r>
        <w:t xml:space="preserve">.</w:t>
      </w:r>
    </w:p>
    <w:bookmarkEnd w:id="116"/>
    <w:bookmarkStart w:id="117" w:name="ref-shuster2003"/>
    <w:p>
      <w:pPr>
        <w:pStyle w:val="Bibliography"/>
      </w:pPr>
      <w:r>
        <w:t xml:space="preserve">Shuster, S. M., and M. J. Wade.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17"/>
    <w:bookmarkStart w:id="119" w:name="ref-snell-rood2010"/>
    <w:p>
      <w:pPr>
        <w:pStyle w:val="Bibliography"/>
      </w:pPr>
      <w:r>
        <w:t xml:space="preserve">Snell-Rood, Emilie C., James David Van Dyken, Tami Cruickshank, Michael J. Wade, and Armin P. Moczek. 2010.</w:t>
      </w:r>
      <w:r>
        <w:t xml:space="preserve"> </w:t>
      </w:r>
      <w:r>
        <w:t xml:space="preserve">“Toward a Population Genetic Framework of Developmental Evolution: The Costs, Limits, and Consequences of Phenotypic Plasticity.”</w:t>
      </w:r>
      <w:r>
        <w:t xml:space="preserve"> </w:t>
      </w:r>
      <w:r>
        <w:rPr>
          <w:i/>
          <w:iCs/>
        </w:rPr>
        <w:t xml:space="preserve">Bioessays</w:t>
      </w:r>
      <w:r>
        <w:t xml:space="preserve"> </w:t>
      </w:r>
      <w:r>
        <w:t xml:space="preserve">32 (1): 71–81.</w:t>
      </w:r>
      <w:r>
        <w:t xml:space="preserve"> </w:t>
      </w:r>
      <w:hyperlink r:id="rId118">
        <w:r>
          <w:rPr>
            <w:rStyle w:val="Hyperlink"/>
          </w:rPr>
          <w:t xml:space="preserve">https://doi.org/10.1002/bies.200900132</w:t>
        </w:r>
      </w:hyperlink>
      <w:r>
        <w:t xml:space="preserve">.</w:t>
      </w:r>
    </w:p>
    <w:bookmarkEnd w:id="119"/>
    <w:bookmarkStart w:id="121" w:name="ref-stoffel2017"/>
    <w:p>
      <w:pPr>
        <w:pStyle w:val="Bibliography"/>
      </w:pPr>
      <w:r>
        <w:t xml:space="preserve">Stoffel, Martin A., Shinichi Nakagawa, and Holger Schielzeth. 2017.</w:t>
      </w:r>
      <w:r>
        <w:t xml:space="preserve"> </w:t>
      </w:r>
      <w:r>
        <w:t xml:space="preserve">“</w:t>
      </w:r>
      <w:r>
        <w:t xml:space="preserve">rptR</w:t>
      </w:r>
      <w:r>
        <w:t xml:space="preserve">: Repeatability Estimation and Variance Decomposition by Generalized Linear Mixed-Effects Models.”</w:t>
      </w:r>
      <w:r>
        <w:t xml:space="preserve"> </w:t>
      </w:r>
      <w:r>
        <w:t xml:space="preserve">Edited by Sarah Goslee.</w:t>
      </w:r>
      <w:r>
        <w:t xml:space="preserve"> </w:t>
      </w:r>
      <w:r>
        <w:rPr>
          <w:i/>
          <w:iCs/>
        </w:rPr>
        <w:t xml:space="preserve">Methods Ecol. Evol.</w:t>
      </w:r>
      <w:r>
        <w:t xml:space="preserve"> </w:t>
      </w:r>
      <w:r>
        <w:t xml:space="preserve">8 (11): 1639–44.</w:t>
      </w:r>
      <w:r>
        <w:t xml:space="preserve"> </w:t>
      </w:r>
      <w:hyperlink r:id="rId120">
        <w:r>
          <w:rPr>
            <w:rStyle w:val="Hyperlink"/>
          </w:rPr>
          <w:t xml:space="preserve">https://doi.org/10.1111/2041-210X.12797</w:t>
        </w:r>
      </w:hyperlink>
      <w:r>
        <w:t xml:space="preserve">.</w:t>
      </w:r>
    </w:p>
    <w:bookmarkEnd w:id="121"/>
    <w:bookmarkStart w:id="123" w:name="ref-tomkins2005"/>
    <w:p>
      <w:pPr>
        <w:pStyle w:val="Bibliography"/>
      </w:pPr>
      <w:r>
        <w:t xml:space="preserve">Tomkins, J. L., J. S. Kotiaho, and N. R. Lebas. 2005.</w:t>
      </w:r>
      <w:r>
        <w:t xml:space="preserve"> </w:t>
      </w:r>
      <w:r>
        <w:t xml:space="preserve">“Phenotypic Plasticity in the Developmental Integration of Morphological Trade-Offs and Secondary Sexual Trait Compensation.”</w:t>
      </w:r>
      <w:r>
        <w:t xml:space="preserve"> </w:t>
      </w:r>
      <w:r>
        <w:rPr>
          <w:i/>
          <w:iCs/>
        </w:rPr>
        <w:t xml:space="preserve">Proc Biol Sci</w:t>
      </w:r>
      <w:r>
        <w:t xml:space="preserve"> </w:t>
      </w:r>
      <w:r>
        <w:t xml:space="preserve">272 (1562): 543–51.</w:t>
      </w:r>
      <w:r>
        <w:t xml:space="preserve"> </w:t>
      </w:r>
      <w:hyperlink r:id="rId122">
        <w:r>
          <w:rPr>
            <w:rStyle w:val="Hyperlink"/>
          </w:rPr>
          <w:t xml:space="preserve">https://doi.org/10.1098/rspb.2004.2950</w:t>
        </w:r>
      </w:hyperlink>
      <w:r>
        <w:t xml:space="preserve">.</w:t>
      </w:r>
    </w:p>
    <w:bookmarkEnd w:id="123"/>
    <w:bookmarkStart w:id="124" w:name="ref-west-eberhard2003"/>
    <w:p>
      <w:pPr>
        <w:pStyle w:val="Bibliography"/>
      </w:pPr>
      <w:r>
        <w:t xml:space="preserve">West-Eberhard, Mary Jane.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UK: Oxford University Press.</w:t>
      </w:r>
    </w:p>
    <w:bookmarkEnd w:id="124"/>
    <w:bookmarkStart w:id="126" w:name="ref-wickham2019"/>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 Open Source Softw.</w:t>
      </w:r>
      <w:r>
        <w:t xml:space="preserve"> </w:t>
      </w:r>
      <w:r>
        <w:t xml:space="preserve">4 (43): 1686.</w:t>
      </w:r>
      <w:r>
        <w:t xml:space="preserve"> </w:t>
      </w:r>
      <w:hyperlink r:id="rId125">
        <w:r>
          <w:rPr>
            <w:rStyle w:val="Hyperlink"/>
          </w:rPr>
          <w:t xml:space="preserve">https://doi.org/10.21105/joss.01686</w:t>
        </w:r>
      </w:hyperlink>
      <w:r>
        <w:t xml:space="preserve">.</w:t>
      </w:r>
    </w:p>
    <w:bookmarkEnd w:id="126"/>
    <w:bookmarkStart w:id="128" w:name="ref-wilson2019"/>
    <w:p>
      <w:pPr>
        <w:pStyle w:val="Bibliography"/>
      </w:pPr>
      <w:r>
        <w:t xml:space="preserve">Wilson, Alexander D. M., and Clint D. Kelly. 2019.</w:t>
      </w:r>
      <w:r>
        <w:t xml:space="preserve"> </w:t>
      </w:r>
      <w:r>
        <w:t xml:space="preserve">“Do Alternative Reproductive Strategies in the</w:t>
      </w:r>
      <w:r>
        <w:t xml:space="preserve"> </w:t>
      </w:r>
      <w:r>
        <w:t xml:space="preserve">Ellington Tree Weta Represent Different Behavioural Types?”</w:t>
      </w:r>
      <w:r>
        <w:t xml:space="preserve"> </w:t>
      </w:r>
      <w:r>
        <w:rPr>
          <w:i/>
          <w:iCs/>
        </w:rPr>
        <w:t xml:space="preserve">Ethology</w:t>
      </w:r>
      <w:r>
        <w:t xml:space="preserve"> </w:t>
      </w:r>
      <w:r>
        <w:t xml:space="preserve">125 (6): 380–91.</w:t>
      </w:r>
      <w:r>
        <w:t xml:space="preserve"> </w:t>
      </w:r>
      <w:hyperlink r:id="rId127">
        <w:r>
          <w:rPr>
            <w:rStyle w:val="Hyperlink"/>
          </w:rPr>
          <w:t xml:space="preserve">https://doi.org/10.1111/eth.12862</w:t>
        </w:r>
      </w:hyperlink>
      <w:r>
        <w:t xml:space="preserve">.</w:t>
      </w:r>
    </w:p>
    <w:bookmarkEnd w:id="128"/>
    <w:bookmarkEnd w:id="129"/>
    <w:p>
      <w:r>
        <w:br w:type="page"/>
      </w:r>
    </w:p>
    <w:bookmarkEnd w:id="130"/>
    <w:bookmarkStart w:id="138"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31"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maximum</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7.49</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7.73</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8.31</w:t>
                  </w:r>
                </w:p>
              </w:tc>
            </w:tr>
          </w:tbl>
          <w:bookmarkEnd w:id="131"/>
        </w:tc>
      </w:tr>
    </w:tbl>
    <w:p>
      <w:r>
        <w:br w:type="page"/>
      </w:r>
    </w:p>
    <w:tbl>
      <w:tblPr>
        <w:tblStyle w:val="Table"/>
        <w:tblW w:type="pct" w:w="5000"/>
        <w:tblLayout w:type="fixed"/>
        <w:tblLook w:firstRow="0" w:lastRow="0" w:firstColumn="0" w:lastColumn="0" w:noHBand="0" w:noVBand="0" w:val="0000"/>
      </w:tblPr>
      <w:tblGrid>
        <w:gridCol w:w="7920"/>
      </w:tblGrid>
      <w:tr>
        <w:tc>
          <w:tcPr/>
          <w:bookmarkStart w:id="132" w:name="tbl-leg-contrasts"/>
          <w:p>
            <w:pPr>
              <w:jc w:val="center"/>
            </w:pPr>
            <w:pPr>
              <w:jc w:val="left"/>
              <w:spacing w:before="200"/>
              <w:pStyle w:val="ImageCaption"/>
            </w:pPr>
            <w:r>
              <w:t xml:space="preserve">Table 2: Male–female contrasts in predicted leg length at a pronotum length of 7.2 mm. Percent differences are expressed relative to females; positive values indicate longer legs in males. P-values are Holm-adjusted within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 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Adjusted p</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132"/>
        </w:tc>
      </w:tr>
    </w:tbl>
    <w:p>
      <w:r>
        <w:br w:type="page"/>
      </w:r>
    </w:p>
    <w:tbl>
      <w:tblPr>
        <w:tblStyle w:val="Table"/>
        <w:tblW w:type="pct" w:w="5000"/>
        <w:tblLayout w:type="fixed"/>
        <w:tblLook w:firstRow="0" w:lastRow="0" w:firstColumn="0" w:lastColumn="0" w:noHBand="0" w:noVBand="0" w:val="0000"/>
      </w:tblPr>
      <w:tblGrid>
        <w:gridCol w:w="7920"/>
      </w:tblGrid>
      <w:tr>
        <w:tc>
          <w:tcPr/>
          <w:bookmarkStart w:id="133" w:name="tbl-leg-slopes"/>
          <w:p>
            <w:pPr>
              <w:jc w:val="center"/>
            </w:pPr>
            <w:pPr>
              <w:jc w:val="left"/>
              <w:spacing w:before="200"/>
              <w:pStyle w:val="ImageCaption"/>
            </w:pPr>
            <w:r>
              <w:t xml:space="preserve">Table 3: Group- and leg-specific allometric slopes (log leg length on log pronotum length) from the joint repeated-trait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0.829</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0.846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0.928</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0.736</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0.548</w:t>
                  </w:r>
                </w:p>
              </w:tc>
            </w:tr>
          </w:tbl>
          <w:bookmarkEnd w:id="133"/>
        </w:tc>
      </w:tr>
    </w:tbl>
    <w:p>
      <w:r>
        <w:br w:type="page"/>
      </w:r>
    </w:p>
    <w:tbl>
      <w:tblPr>
        <w:tblStyle w:val="Table"/>
        <w:tblW w:type="pct" w:w="5000"/>
        <w:tblLayout w:type="fixed"/>
        <w:tblLook w:firstRow="0" w:lastRow="0" w:firstColumn="0" w:lastColumn="0" w:noHBand="0" w:noVBand="0" w:val="0000"/>
      </w:tblPr>
      <w:tblGrid>
        <w:gridCol w:w="7920"/>
      </w:tblGrid>
      <w:tr>
        <w:tc>
          <w:tcPr/>
          <w:bookmarkStart w:id="134" w:name="tbl-segment-tests"/>
          <w:p>
            <w:pPr>
              <w:jc w:val="center"/>
            </w:pPr>
            <w:pPr>
              <w:jc w:val="left"/>
              <w:spacing w:before="200"/>
              <w:pStyle w:val="ImageCaption"/>
            </w:pPr>
            <w:r>
              <w:t xml:space="preserve">Table 4: Nested-model tests of group-specific allometric slopes for each femur and tibia segment.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Result</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Forefemur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Hindtibia</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bl>
          <w:bookmarkEnd w:id="134"/>
        </w:tc>
      </w:tr>
    </w:tbl>
    <w:p>
      <w:r>
        <w:br w:type="page"/>
      </w:r>
    </w:p>
    <w:tbl>
      <w:tblPr>
        <w:tblStyle w:val="Table"/>
        <w:tblW w:type="pct" w:w="5000"/>
        <w:tblLayout w:type="fixed"/>
        <w:tblLook w:firstRow="0" w:lastRow="0" w:firstColumn="0" w:lastColumn="0" w:noHBand="0" w:noVBand="0" w:val="0000"/>
      </w:tblPr>
      <w:tblGrid>
        <w:gridCol w:w="7920"/>
      </w:tblGrid>
      <w:tr>
        <w:tc>
          <w:tcPr/>
          <w:bookmarkStart w:id="135" w:name="tbl-weapon-leg-slopes"/>
          <w:p>
            <w:pPr>
              <w:jc w:val="center"/>
            </w:pPr>
            <w:pPr>
              <w:jc w:val="left"/>
              <w:spacing w:before="200"/>
              <w:pStyle w:val="ImageCaption"/>
            </w:pPr>
            <w:r>
              <w:t xml:space="preserve">Table 5: Group- and leg-specific slopes of leg length on relative head size (weapon proxy) from the joint weapon–leg model. Slopes are partial allometric exponents after accounting for pronotum length and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135"/>
        </w:tc>
      </w:tr>
    </w:tbl>
    <w:p>
      <w:r>
        <w:br w:type="page"/>
      </w:r>
    </w:p>
    <w:tbl>
      <w:tblPr>
        <w:tblStyle w:val="Table"/>
        <w:tblW w:type="pct" w:w="5000"/>
        <w:tblLayout w:type="fixed"/>
        <w:tblLook w:firstRow="0" w:lastRow="0" w:firstColumn="0" w:lastColumn="0" w:noHBand="0" w:noVBand="0" w:val="0000"/>
      </w:tblPr>
      <w:tblGrid>
        <w:gridCol w:w="7920"/>
      </w:tblGrid>
      <w:tr>
        <w:tc>
          <w:tcPr/>
          <w:bookmarkStart w:id="136" w:name="tbl-ear-means"/>
          <w:p>
            <w:pPr>
              <w:jc w:val="center"/>
            </w:pPr>
            <w:pPr>
              <w:jc w:val="left"/>
              <w:spacing w:before="200"/>
              <w:pStyle w:val="ImageCaption"/>
            </w:pPr>
            <w:r>
              <w:t xml:space="preserve">Table 6: Adjusted predicted tympanic organ area at a pronotum length of 7.2 mm. Values are back-transformed from log-linearised ear length (area = linearised length²).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ear area (mm²)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2.997</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3.189</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3.150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3.432</w:t>
                  </w:r>
                </w:p>
              </w:tc>
            </w:tr>
          </w:tbl>
          <w:bookmarkEnd w:id="136"/>
        </w:tc>
      </w:tr>
    </w:tbl>
    <w:p>
      <w:r>
        <w:br w:type="page"/>
      </w:r>
    </w:p>
    <w:tbl>
      <w:tblPr>
        <w:tblStyle w:val="Table"/>
        <w:tblW w:type="pct" w:w="5000"/>
        <w:tblLayout w:type="fixed"/>
        <w:tblLook w:firstRow="0" w:lastRow="0" w:firstColumn="0" w:lastColumn="0" w:noHBand="0" w:noVBand="0" w:val="0000"/>
      </w:tblPr>
      <w:tblGrid>
        <w:gridCol w:w="7920"/>
      </w:tblGrid>
      <w:tr>
        <w:tc>
          <w:tcPr/>
          <w:bookmarkStart w:id="137" w:name="tbl-eye-means"/>
          <w:p>
            <w:pPr>
              <w:jc w:val="center"/>
            </w:pPr>
            <w:pPr>
              <w:jc w:val="left"/>
              <w:spacing w:before="200"/>
              <w:pStyle w:val="ImageCaption"/>
            </w:pPr>
            <w:r>
              <w:t xml:space="preserve">Table 7: Adjusted predicted eye length at a pronotum length of 7.2 mm.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eye length (mm)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2.786</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2.914</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3.205</w:t>
                  </w:r>
                </w:p>
              </w:tc>
            </w:tr>
          </w:tbl>
          <w:bookmarkEnd w:id="137"/>
        </w:tc>
      </w:tr>
    </w:tbl>
    <w:p>
      <w:r>
        <w:br w:type="page"/>
      </w:r>
    </w:p>
    <w:bookmarkEnd w:id="138"/>
    <w:bookmarkStart w:id="159"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42" w:name="fig-adjusted-legs"/>
          <w:p>
            <w:pPr>
              <w:pStyle w:val="Compact"/>
              <w:jc w:val="center"/>
            </w:pPr>
            <w:r>
              <w:drawing>
                <wp:inline>
                  <wp:extent cx="5969000" cy="3316111"/>
                  <wp:effectExtent b="0" l="0" r="0" t="0"/>
                  <wp:docPr descr="" title="" id="140" name="Picture"/>
                  <a:graphic>
                    <a:graphicData uri="http://schemas.openxmlformats.org/drawingml/2006/picture">
                      <pic:pic>
                        <pic:nvPicPr>
                          <pic:cNvPr descr="analysis_outputs/weta_trait_analysis/figures/adjusted_leg_means.png" id="141" name="Picture"/>
                          <pic:cNvPicPr>
                            <a:picLocks noChangeArrowheads="1" noChangeAspect="1"/>
                          </pic:cNvPicPr>
                        </pic:nvPicPr>
                        <pic:blipFill>
                          <a:blip r:embed="rId139"/>
                          <a:stretch>
                            <a:fillRect/>
                          </a:stretch>
                        </pic:blipFill>
                        <pic:spPr bwMode="auto">
                          <a:xfrm>
                            <a:off x="0" y="0"/>
                            <a:ext cx="5969000" cy="33161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Size-adjusted predicted foreleg, midleg, and hindleg lengths for females and the three male morphotypes at a pronotum length of 7.2 mm. Error bars are 95% confidence intervals.</w:t>
            </w:r>
          </w:p>
          <w:bookmarkEnd w:id="142"/>
        </w:tc>
      </w:tr>
    </w:tbl>
    <w:p>
      <w:r>
        <w:br w:type="page"/>
      </w:r>
    </w:p>
    <w:tbl>
      <w:tblPr>
        <w:tblStyle w:val="Table"/>
        <w:tblW w:type="pct" w:w="5000"/>
        <w:tblLayout w:type="fixed"/>
        <w:tblLook w:firstRow="0" w:lastRow="0" w:firstColumn="0" w:lastColumn="0" w:noHBand="0" w:noVBand="0" w:val="0000"/>
      </w:tblPr>
      <w:tblGrid>
        <w:gridCol w:w="7920"/>
      </w:tblGrid>
      <w:tr>
        <w:tc>
          <w:tcPr/>
          <w:bookmarkStart w:id="146" w:name="fig-leg-allometries"/>
          <w:p>
            <w:pPr>
              <w:pStyle w:val="Compact"/>
              <w:jc w:val="center"/>
            </w:pPr>
            <w:r>
              <w:drawing>
                <wp:inline>
                  <wp:extent cx="5969000" cy="4642555"/>
                  <wp:effectExtent b="0" l="0" r="0" t="0"/>
                  <wp:docPr descr="" title="" id="144" name="Picture"/>
                  <a:graphic>
                    <a:graphicData uri="http://schemas.openxmlformats.org/drawingml/2006/picture">
                      <pic:pic>
                        <pic:nvPicPr>
                          <pic:cNvPr descr="analysis_outputs/weta_trait_analysis/figures/leg_allometries.png" id="145" name="Picture"/>
                          <pic:cNvPicPr>
                            <a:picLocks noChangeArrowheads="1" noChangeAspect="1"/>
                          </pic:cNvPicPr>
                        </pic:nvPicPr>
                        <pic:blipFill>
                          <a:blip r:embed="rId143"/>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Log–log relationships between pronotum length and total foreleg, midleg, and hindleg length in females and the three male morphotypes.</w:t>
            </w:r>
          </w:p>
          <w:bookmarkEnd w:id="146"/>
        </w:tc>
      </w:tr>
    </w:tbl>
    <w:p>
      <w:r>
        <w:br w:type="page"/>
      </w:r>
    </w:p>
    <w:tbl>
      <w:tblPr>
        <w:tblStyle w:val="Table"/>
        <w:tblW w:type="pct" w:w="5000"/>
        <w:tblLayout w:type="fixed"/>
        <w:tblLook w:firstRow="0" w:lastRow="0" w:firstColumn="0" w:lastColumn="0" w:noHBand="0" w:noVBand="0" w:val="0000"/>
      </w:tblPr>
      <w:tblGrid>
        <w:gridCol w:w="7920"/>
      </w:tblGrid>
      <w:tr>
        <w:tc>
          <w:tcPr/>
          <w:bookmarkStart w:id="150" w:name="fig-weapon-leg"/>
          <w:p>
            <w:pPr>
              <w:pStyle w:val="Compact"/>
              <w:jc w:val="center"/>
            </w:pPr>
            <w:r>
              <w:drawing>
                <wp:inline>
                  <wp:extent cx="5969000" cy="4642555"/>
                  <wp:effectExtent b="0" l="0" r="0" t="0"/>
                  <wp:docPr descr="" title="" id="148" name="Picture"/>
                  <a:graphic>
                    <a:graphicData uri="http://schemas.openxmlformats.org/drawingml/2006/picture">
                      <pic:pic>
                        <pic:nvPicPr>
                          <pic:cNvPr descr="analysis_outputs/weta_trait_analysis/figures/head_leg_compensation.png" id="149" name="Picture"/>
                          <pic:cNvPicPr>
                            <a:picLocks noChangeArrowheads="1" noChangeAspect="1"/>
                          </pic:cNvPicPr>
                        </pic:nvPicPr>
                        <pic:blipFill>
                          <a:blip r:embed="rId147"/>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relative head size (weapon size adjusted for pronotum length) and predicted leg length in females and the three male morphotypes. Lines show partial slopes after accounting for pronotum length.</w:t>
            </w:r>
          </w:p>
          <w:bookmarkEnd w:id="150"/>
        </w:tc>
      </w:tr>
    </w:tbl>
    <w:p>
      <w:r>
        <w:br w:type="page"/>
      </w:r>
    </w:p>
    <w:tbl>
      <w:tblPr>
        <w:tblStyle w:val="Table"/>
        <w:tblW w:type="pct" w:w="5000"/>
        <w:tblLayout w:type="fixed"/>
        <w:tblLook w:firstRow="0" w:lastRow="0" w:firstColumn="0" w:lastColumn="0" w:noHBand="0" w:noVBand="0" w:val="0000"/>
      </w:tblPr>
      <w:tblGrid>
        <w:gridCol w:w="7920"/>
      </w:tblGrid>
      <w:tr>
        <w:tc>
          <w:tcPr/>
          <w:bookmarkStart w:id="154" w:name="fig-ear-body"/>
          <w:p>
            <w:pPr>
              <w:pStyle w:val="Compact"/>
              <w:jc w:val="center"/>
            </w:pPr>
            <w:r>
              <w:drawing>
                <wp:inline>
                  <wp:extent cx="4775200" cy="3410857"/>
                  <wp:effectExtent b="0" l="0" r="0" t="0"/>
                  <wp:docPr descr="" title="" id="152" name="Picture"/>
                  <a:graphic>
                    <a:graphicData uri="http://schemas.openxmlformats.org/drawingml/2006/picture">
                      <pic:pic>
                        <pic:nvPicPr>
                          <pic:cNvPr descr="analysis_outputs/weta_trait_analysis/figures/ear_body_adjusted_means.png" id="153" name="Picture"/>
                          <pic:cNvPicPr>
                            <a:picLocks noChangeArrowheads="1" noChangeAspect="1"/>
                          </pic:cNvPicPr>
                        </pic:nvPicPr>
                        <pic:blipFill>
                          <a:blip r:embed="rId151"/>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Predicted tympanic organ area adjusted for pronotum length in females and the three male morphotypes. Error bars are 95% confidence intervals.</w:t>
            </w:r>
          </w:p>
          <w:bookmarkEnd w:id="154"/>
        </w:tc>
      </w:tr>
    </w:tbl>
    <w:p>
      <w:r>
        <w:br w:type="page"/>
      </w:r>
    </w:p>
    <w:tbl>
      <w:tblPr>
        <w:tblStyle w:val="Table"/>
        <w:tblW w:type="pct" w:w="5000"/>
        <w:tblLayout w:type="fixed"/>
        <w:tblLook w:firstRow="0" w:lastRow="0" w:firstColumn="0" w:lastColumn="0" w:noHBand="0" w:noVBand="0" w:val="0000"/>
      </w:tblPr>
      <w:tblGrid>
        <w:gridCol w:w="7920"/>
      </w:tblGrid>
      <w:tr>
        <w:tc>
          <w:tcPr/>
          <w:bookmarkStart w:id="158" w:name="fig-eye-body"/>
          <w:p>
            <w:pPr>
              <w:pStyle w:val="Compact"/>
              <w:jc w:val="center"/>
            </w:pPr>
            <w:r>
              <w:drawing>
                <wp:inline>
                  <wp:extent cx="4775200" cy="3410857"/>
                  <wp:effectExtent b="0" l="0" r="0" t="0"/>
                  <wp:docPr descr="" title="" id="156" name="Picture"/>
                  <a:graphic>
                    <a:graphicData uri="http://schemas.openxmlformats.org/drawingml/2006/picture">
                      <pic:pic>
                        <pic:nvPicPr>
                          <pic:cNvPr descr="analysis_outputs/weta_trait_analysis/figures/eye_body_adjusted_means.png" id="157" name="Picture"/>
                          <pic:cNvPicPr>
                            <a:picLocks noChangeArrowheads="1" noChangeAspect="1"/>
                          </pic:cNvPicPr>
                        </pic:nvPicPr>
                        <pic:blipFill>
                          <a:blip r:embed="rId155"/>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eye length adjusted for pronotum length in females and the three male morphotypes. Error bars are 95% confidence intervals.</w:t>
            </w:r>
          </w:p>
          <w:bookmarkEnd w:id="158"/>
        </w:tc>
      </w:tr>
    </w:tbl>
    <w:p>
      <w:r>
        <w:br w:type="page"/>
      </w:r>
    </w:p>
    <w:bookmarkEnd w:id="159"/>
    <w:bookmarkStart w:id="160" w:name="supplementary-material"/>
    <w:p>
      <w:pPr>
        <w:pStyle w:val="Heading1"/>
      </w:pPr>
      <w:r>
        <w:t xml:space="preserve">Supplementary material</w:t>
      </w:r>
    </w:p>
    <w:p>
      <w:pPr>
        <w:pStyle w:val="FirstParagraph"/>
      </w:pPr>
      <w:r>
        <w:rPr>
          <w:b/>
          <w:bCs/>
        </w:rPr>
        <w:t xml:space="preserve">Supplementary Table S1.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68"/>
        <w:gridCol w:w="1498"/>
        <w:gridCol w:w="1498"/>
        <w:gridCol w:w="1498"/>
        <w:gridCol w:w="691"/>
        <w:gridCol w:w="806"/>
        <w:gridCol w:w="806"/>
        <w:gridCol w:w="792"/>
      </w:tblGrid>
      <w:tr>
        <w:trPr>
          <w:cantSplit/>
          <w:trHeight w:val="360" w:hRule="auto"/>
          <w:tblHeader/>
        </w:trPr>
        <w:tc>
          <w:tcPr>
            <w:tcBorders>
              <w:bottom w:val="single" w:sz="4" w:space="0" w:color="B7B7B7"/>
              <w:top w:val="single" w:sz="6" w:space="0" w:color="7F7F7F"/>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
            </w:r>
          </w:p>
        </w:tc>
        <w:tc>
          <w:tcPr>
            <w:gridSpan w:val="3"/>
            <w:tcBorders>
              <w:bottom w:val="single" w:sz="4" w:space="0" w:color="B7B7B7"/>
              <w:top w:val="single" w:sz="6" w:space="0" w:color="7F7F7F"/>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Repeatability, R (95% CI)</w:t>
            </w:r>
          </w:p>
        </w:tc>
        <w:tc>
          <w:tcPr>
            <w:gridSpan w:val="4"/>
            <w:tcBorders>
              <w:bottom w:val="single" w:sz="4" w:space="0" w:color="B7B7B7"/>
              <w:top w:val="single" w:sz="6" w:space="0" w:color="7F7F7F"/>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Agreement among rounds</w:t>
            </w:r>
          </w:p>
        </w:tc>
      </w:tr>
      <w:tr>
        <w:trPr>
          <w:cantSplit/>
          <w:trHeight w:val="360" w:hRule="auto"/>
          <w:tblHeader/>
        </w:trPr>
        <w:tc>
          <w:tcPr>
            <w:tcBorders>
              <w:bottom w:val="single" w:sz="6" w:space="0" w:color="7F7F7F"/>
              <w:top w:val="single" w:sz="4" w:space="0" w:color="B7B7B7"/>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Pooled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Morph-adjusted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 + round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rTEM (%)</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ICC(A,1)</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Max. bias (%)</w:t>
            </w:r>
          </w:p>
        </w:tc>
        <w:tc>
          <w:tcPr>
            <w:tcBorders>
              <w:bottom w:val="single" w:sz="6" w:space="0" w:color="7F7F7F"/>
              <w:top w:val="single" w:sz="4" w:space="0" w:color="B7B7B7"/>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Holm p</w:t>
            </w:r>
          </w:p>
        </w:tc>
      </w:tr>
      <w:tr>
        <w:trPr>
          <w:cantSplit/>
          <w:trHeight w:val="360" w:hRule="auto"/>
        </w:trPr>
        <w:tc>
          <w:tcPr>
            <w:tcBorders>
              <w:bottom w:val="single" w:sz="4" w:space="0" w:color="B7B7B7"/>
              <w:top w:val="single" w:sz="6" w:space="0" w:color="7F7F7F"/>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Pronotum length</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(0.9916–0.9968)</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(0.9690–0.9887)</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(0.9900–0.9965)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0.9951</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1.08</w:t>
            </w:r>
          </w:p>
        </w:tc>
        <w:tc>
          <w:tcPr>
            <w:tcBorders>
              <w:bottom w:val="single" w:sz="4" w:space="0" w:color="B7B7B7"/>
              <w:top w:val="single" w:sz="6" w:space="0" w:color="7F7F7F"/>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(0.9995–0.9998)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(0.9931–0.9976)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(0.9968–0.9989)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width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(0.9984–0.9994)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(0.9810–0.9932)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(0.9894–0.9962)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0.81</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(0.9893–0.9962)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(0.9642–0.9869)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(0.9657–0.9876)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0.136</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(0.9887–0.9960)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(0.9687–0.9889)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(0.9765–0.9917)</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(0.9911–0.9967)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(0.9707–0.9893)</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(0.9750–0.9909)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0.44</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(0.9930–0.9975)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(0.9790–0.9925)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(0.9788–0.9926)</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(0.9924–0.9972)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(0.9724–0.9898)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(0.9742–0.9905)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(0.9773–0.9919)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(0.9249–0.9733)</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(0.9302–0.9754)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1.21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0.73</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Ear area</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(0.9610–0.9855)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(0.9158–0.9691)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(0.9276–0.9736)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2.57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2.15</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6" w:space="0" w:color="7F7F7F"/>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(0.9841–0.9942)</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(0.9527–0.9826)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(0.9519–0.9824)</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1.13</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w:t>
            </w:r>
          </w:p>
        </w:tc>
        <w:tc>
          <w:tcPr>
            <w:tcBorders>
              <w:bottom w:val="single" w:sz="6" w:space="0" w:color="7F7F7F"/>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bl>
    <w:p>
      <w:pPr>
        <w:pStyle w:val="BodyText"/>
      </w:pPr>
      <w:r>
        <w:rPr>
          <w:i/>
          <w:iCs/>
        </w:rPr>
        <w:t xml:space="preserve">Note.</w:t>
      </w:r>
      <w:r>
        <w:t xml:space="preserve"> </w:t>
      </w:r>
      <m:oMath>
        <m:r>
          <m:t>R</m:t>
        </m:r>
      </m:oMath>
      <w:r>
        <w:t xml:space="preserve"> </w:t>
      </w:r>
      <w:r>
        <w:t xml:space="preserve">= individual-level ICC (95% CI from 1,000 bootstraps) for pooled, morph-adjusted, and morph + round models. rTEM = within-individual SD/mean × 100; ICC(A,1) = single-measure absolute agreement; maximum bias = largest round-pair bias (% of mean);</w:t>
      </w:r>
      <w:r>
        <w:t xml:space="preserve"> </w:t>
      </w:r>
      <m:oMath>
        <m:r>
          <m:t>p</m:t>
        </m:r>
      </m:oMath>
      <w:r>
        <w:t xml:space="preserve"> </w:t>
      </w:r>
      <w:r>
        <w:t xml:space="preserve">= Holm-adjusted across traits. Estimates used 48 individuals (142–144 observations; 47–48 complete triplets). No order drift was detected (minimum Benjamini–Hochberg-adjusted</w:t>
      </w:r>
      <w:r>
        <w:t xml:space="preserve"> </w:t>
      </w:r>
      <m:oMath>
        <m:r>
          <m:t>p</m:t>
        </m:r>
      </m:oMath>
      <w:r>
        <w:t xml:space="preserve">: 0.524 signed, 0.867 absolute).</w:t>
      </w:r>
    </w:p>
    <w:bookmarkEnd w:id="160"/>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39" Target="media/rId139.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hyperlink" Id="rId118" Target="https://doi.org/10.1002/bies.200900132" TargetMode="External" /><Relationship Type="http://schemas.openxmlformats.org/officeDocument/2006/relationships/hyperlink" Id="rId113" Target="https://doi.org/10.1002/ece3.6711" TargetMode="External" /><Relationship Type="http://schemas.openxmlformats.org/officeDocument/2006/relationships/hyperlink" Id="rId63" Target="https://doi.org/10.1007/s00359-021-01492-4" TargetMode="External" /><Relationship Type="http://schemas.openxmlformats.org/officeDocument/2006/relationships/hyperlink" Id="rId76" Target="https://doi.org/10.1007/s10682-025-10369-w" TargetMode="External" /><Relationship Type="http://schemas.openxmlformats.org/officeDocument/2006/relationships/hyperlink" Id="rId92" Target="https://doi.org/10.1007/s11692-010-9096-1" TargetMode="External" /><Relationship Type="http://schemas.openxmlformats.org/officeDocument/2006/relationships/hyperlink" Id="rId72" Target="https://doi.org/10.1016/0169-5347(96)81050-0" TargetMode="External" /><Relationship Type="http://schemas.openxmlformats.org/officeDocument/2006/relationships/hyperlink" Id="rId84" Target="https://doi.org/10.1016/j.anbehav.2006.02.007" TargetMode="External" /><Relationship Type="http://schemas.openxmlformats.org/officeDocument/2006/relationships/hyperlink" Id="rId101" Target="https://doi.org/10.1016/j.anbehav.2013.08.017" TargetMode="External" /><Relationship Type="http://schemas.openxmlformats.org/officeDocument/2006/relationships/hyperlink" Id="rId88" Target="https://doi.org/10.1016/j.anbehav.2025.123332" TargetMode="External" /><Relationship Type="http://schemas.openxmlformats.org/officeDocument/2006/relationships/hyperlink" Id="rId115" Target="https://doi.org/10.1038/nmeth.2019" TargetMode="External" /><Relationship Type="http://schemas.openxmlformats.org/officeDocument/2006/relationships/hyperlink" Id="rId107" Target="https://doi.org/10.1073/pnas.95.7.3685" TargetMode="External" /><Relationship Type="http://schemas.openxmlformats.org/officeDocument/2006/relationships/hyperlink" Id="rId103" Target="https://doi.org/10.1086/381741" TargetMode="External" /><Relationship Type="http://schemas.openxmlformats.org/officeDocument/2006/relationships/hyperlink" Id="rId80" Target="https://doi.org/10.1093/aesa/saw096" TargetMode="External" /><Relationship Type="http://schemas.openxmlformats.org/officeDocument/2006/relationships/hyperlink" Id="rId82" Target="https://doi.org/10.1093/beheco/arh141" TargetMode="External" /><Relationship Type="http://schemas.openxmlformats.org/officeDocument/2006/relationships/hyperlink" Id="rId90" Target="https://doi.org/10.1093/evolut/qpaf215" TargetMode="External" /><Relationship Type="http://schemas.openxmlformats.org/officeDocument/2006/relationships/hyperlink" Id="rId65" Target="https://doi.org/10.1093/iob/obag016" TargetMode="External" /><Relationship Type="http://schemas.openxmlformats.org/officeDocument/2006/relationships/hyperlink" Id="rId86" Target="https://doi.org/10.1098/rsos.240100" TargetMode="External" /><Relationship Type="http://schemas.openxmlformats.org/officeDocument/2006/relationships/hyperlink" Id="rId122" Target="https://doi.org/10.1098/rspb.2004.2950" TargetMode="External" /><Relationship Type="http://schemas.openxmlformats.org/officeDocument/2006/relationships/hyperlink" Id="rId105" Target="https://doi.org/10.1098/rspb.2020.0975" TargetMode="External" /><Relationship Type="http://schemas.openxmlformats.org/officeDocument/2006/relationships/hyperlink" Id="rId120" Target="https://doi.org/10.1111/2041-210X.12797" TargetMode="External" /><Relationship Type="http://schemas.openxmlformats.org/officeDocument/2006/relationships/hyperlink" Id="rId127" Target="https://doi.org/10.1111/eth.12862" TargetMode="External" /><Relationship Type="http://schemas.openxmlformats.org/officeDocument/2006/relationships/hyperlink" Id="rId70" Target="https://doi.org/10.1126/science.1056607" TargetMode="External" /><Relationship Type="http://schemas.openxmlformats.org/officeDocument/2006/relationships/hyperlink" Id="rId74" Target="https://doi.org/10.18637/jss.v059.i09" TargetMode="External" /><Relationship Type="http://schemas.openxmlformats.org/officeDocument/2006/relationships/hyperlink" Id="rId67" Target="https://doi.org/10.18637/jss.v067.i01" TargetMode="External" /><Relationship Type="http://schemas.openxmlformats.org/officeDocument/2006/relationships/hyperlink" Id="rId94" Target="https://doi.org/10.18637/jss.v082.i13" TargetMode="External" /><Relationship Type="http://schemas.openxmlformats.org/officeDocument/2006/relationships/hyperlink" Id="rId125" Target="https://doi.org/10.21105/joss.01686" TargetMode="External" /><Relationship Type="http://schemas.openxmlformats.org/officeDocument/2006/relationships/hyperlink" Id="rId97" Target="https://doi.org/10.21105/joss.03139" TargetMode="External" /><Relationship Type="http://schemas.openxmlformats.org/officeDocument/2006/relationships/hyperlink" Id="rId99" Target="https://doi.org/10.21105/joss.03393" TargetMode="External" /><Relationship Type="http://schemas.openxmlformats.org/officeDocument/2006/relationships/hyperlink" Id="rId111" Target="https://doi.org/10.48550/arXiv.1412.3565" TargetMode="External" /><Relationship Type="http://schemas.openxmlformats.org/officeDocument/2006/relationships/hyperlink" Id="rId78" Target="https://www.jstor.org/stable/25799795"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118" Target="https://doi.org/10.1002/bies.200900132" TargetMode="External" /><Relationship Type="http://schemas.openxmlformats.org/officeDocument/2006/relationships/hyperlink" Id="rId113" Target="https://doi.org/10.1002/ece3.6711" TargetMode="External" /><Relationship Type="http://schemas.openxmlformats.org/officeDocument/2006/relationships/hyperlink" Id="rId63" Target="https://doi.org/10.1007/s00359-021-01492-4" TargetMode="External" /><Relationship Type="http://schemas.openxmlformats.org/officeDocument/2006/relationships/hyperlink" Id="rId76" Target="https://doi.org/10.1007/s10682-025-10369-w" TargetMode="External" /><Relationship Type="http://schemas.openxmlformats.org/officeDocument/2006/relationships/hyperlink" Id="rId92" Target="https://doi.org/10.1007/s11692-010-9096-1" TargetMode="External" /><Relationship Type="http://schemas.openxmlformats.org/officeDocument/2006/relationships/hyperlink" Id="rId72" Target="https://doi.org/10.1016/0169-5347(96)81050-0" TargetMode="External" /><Relationship Type="http://schemas.openxmlformats.org/officeDocument/2006/relationships/hyperlink" Id="rId84" Target="https://doi.org/10.1016/j.anbehav.2006.02.007" TargetMode="External" /><Relationship Type="http://schemas.openxmlformats.org/officeDocument/2006/relationships/hyperlink" Id="rId101" Target="https://doi.org/10.1016/j.anbehav.2013.08.017" TargetMode="External" /><Relationship Type="http://schemas.openxmlformats.org/officeDocument/2006/relationships/hyperlink" Id="rId88" Target="https://doi.org/10.1016/j.anbehav.2025.123332" TargetMode="External" /><Relationship Type="http://schemas.openxmlformats.org/officeDocument/2006/relationships/hyperlink" Id="rId115" Target="https://doi.org/10.1038/nmeth.2019" TargetMode="External" /><Relationship Type="http://schemas.openxmlformats.org/officeDocument/2006/relationships/hyperlink" Id="rId107" Target="https://doi.org/10.1073/pnas.95.7.3685" TargetMode="External" /><Relationship Type="http://schemas.openxmlformats.org/officeDocument/2006/relationships/hyperlink" Id="rId103" Target="https://doi.org/10.1086/381741" TargetMode="External" /><Relationship Type="http://schemas.openxmlformats.org/officeDocument/2006/relationships/hyperlink" Id="rId80" Target="https://doi.org/10.1093/aesa/saw096" TargetMode="External" /><Relationship Type="http://schemas.openxmlformats.org/officeDocument/2006/relationships/hyperlink" Id="rId82" Target="https://doi.org/10.1093/beheco/arh141" TargetMode="External" /><Relationship Type="http://schemas.openxmlformats.org/officeDocument/2006/relationships/hyperlink" Id="rId90" Target="https://doi.org/10.1093/evolut/qpaf215" TargetMode="External" /><Relationship Type="http://schemas.openxmlformats.org/officeDocument/2006/relationships/hyperlink" Id="rId65" Target="https://doi.org/10.1093/iob/obag016" TargetMode="External" /><Relationship Type="http://schemas.openxmlformats.org/officeDocument/2006/relationships/hyperlink" Id="rId86" Target="https://doi.org/10.1098/rsos.240100" TargetMode="External" /><Relationship Type="http://schemas.openxmlformats.org/officeDocument/2006/relationships/hyperlink" Id="rId122" Target="https://doi.org/10.1098/rspb.2004.2950" TargetMode="External" /><Relationship Type="http://schemas.openxmlformats.org/officeDocument/2006/relationships/hyperlink" Id="rId105" Target="https://doi.org/10.1098/rspb.2020.0975" TargetMode="External" /><Relationship Type="http://schemas.openxmlformats.org/officeDocument/2006/relationships/hyperlink" Id="rId120" Target="https://doi.org/10.1111/2041-210X.12797" TargetMode="External" /><Relationship Type="http://schemas.openxmlformats.org/officeDocument/2006/relationships/hyperlink" Id="rId127" Target="https://doi.org/10.1111/eth.12862" TargetMode="External" /><Relationship Type="http://schemas.openxmlformats.org/officeDocument/2006/relationships/hyperlink" Id="rId70" Target="https://doi.org/10.1126/science.1056607" TargetMode="External" /><Relationship Type="http://schemas.openxmlformats.org/officeDocument/2006/relationships/hyperlink" Id="rId74" Target="https://doi.org/10.18637/jss.v059.i09" TargetMode="External" /><Relationship Type="http://schemas.openxmlformats.org/officeDocument/2006/relationships/hyperlink" Id="rId67" Target="https://doi.org/10.18637/jss.v067.i01" TargetMode="External" /><Relationship Type="http://schemas.openxmlformats.org/officeDocument/2006/relationships/hyperlink" Id="rId94" Target="https://doi.org/10.18637/jss.v082.i13" TargetMode="External" /><Relationship Type="http://schemas.openxmlformats.org/officeDocument/2006/relationships/hyperlink" Id="rId125" Target="https://doi.org/10.21105/joss.01686" TargetMode="External" /><Relationship Type="http://schemas.openxmlformats.org/officeDocument/2006/relationships/hyperlink" Id="rId97" Target="https://doi.org/10.21105/joss.03139" TargetMode="External" /><Relationship Type="http://schemas.openxmlformats.org/officeDocument/2006/relationships/hyperlink" Id="rId99" Target="https://doi.org/10.21105/joss.03393" TargetMode="External" /><Relationship Type="http://schemas.openxmlformats.org/officeDocument/2006/relationships/hyperlink" Id="rId111" Target="https://doi.org/10.48550/arXiv.1412.3565" TargetMode="External" /><Relationship Type="http://schemas.openxmlformats.org/officeDocument/2006/relationships/hyperlink" Id="rId78" Target="https://www.jstor.org/stable/25799795"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dcterms:created xsi:type="dcterms:W3CDTF">2026-09-21T21:50:03Z</dcterms:created>
  <dcterms:modified xsi:type="dcterms:W3CDTF">2026-09-21T21:50:03Z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rams">
    <vt:lpwstr/>
  </property>
  <property fmtid="{D5CDD505-2E9C-101B-9397-08002B2CF9AE}" pid="13" name="toc-title">
    <vt:lpwstr>Table of contents</vt:lpwstr>
  </property>
</Properties>
</file>