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3.png" ContentType="image/png"/>
  <Override PartName="/word/media/rId37.png" ContentType="image/png"/>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Coordinated locomotory and sensory divergence across alternative mating strategies in Wellington tree wētā</w:t>
      </w:r>
    </w:p>
    <w:p>
      <w:pPr>
        <w:pStyle w:val="Author"/>
      </w:pPr>
      <w:r>
        <w:t xml:space="preserve">Clint D. Kelly</w:t>
      </w:r>
    </w:p>
    <w:p>
      <w:pPr>
        <w:pStyle w:val="FirstParagraph"/>
      </w:pPr>
      <w:r>
        <w:rPr>
          <w:i/>
          <w:iCs/>
        </w:rPr>
        <w:t xml:space="preserve">Département des Sciences biologiques, Université du Québec à Montréal, Montréal, Canada</w:t>
      </w:r>
    </w:p>
    <w:p>
      <w:pPr>
        <w:pStyle w:val="BodyText"/>
      </w:pPr>
      <w:r>
        <w:rPr>
          <w:i/>
          <w:iCs/>
        </w:rPr>
        <w:t xml:space="preserve">Correspondence: kelly.clint@uqam.ca; ORCID: 0000-0002-0693-7211</w:t>
      </w:r>
    </w:p>
    <w:p>
      <w:r>
        <w:br w:type="page"/>
      </w:r>
    </w:p>
    <w:bookmarkStart w:id="20" w:name="contents"/>
    <w:p>
      <w:pPr>
        <w:pStyle w:val="Heading1"/>
      </w:pPr>
      <w:r>
        <w:t xml:space="preserve">Contents</w:t>
      </w:r>
    </w:p>
    <w:p>
      <w:pPr>
        <w:pStyle w:val="Compact"/>
        <w:numPr>
          <w:ilvl w:val="0"/>
          <w:numId w:val="1001"/>
        </w:numPr>
      </w:pPr>
      <w:r>
        <w:t xml:space="preserve">Overview</w:t>
      </w:r>
    </w:p>
    <w:p>
      <w:pPr>
        <w:pStyle w:val="Compact"/>
        <w:numPr>
          <w:ilvl w:val="0"/>
          <w:numId w:val="1001"/>
        </w:numPr>
      </w:pPr>
      <w:r>
        <w:t xml:space="preserve">Supplementary methods</w:t>
      </w:r>
    </w:p>
    <w:p>
      <w:pPr>
        <w:pStyle w:val="Compact"/>
        <w:numPr>
          <w:ilvl w:val="0"/>
          <w:numId w:val="1001"/>
        </w:numPr>
      </w:pPr>
      <w:r>
        <w:t xml:space="preserve">Supplementary results</w:t>
      </w:r>
    </w:p>
    <w:p>
      <w:pPr>
        <w:pStyle w:val="Compact"/>
        <w:numPr>
          <w:ilvl w:val="0"/>
          <w:numId w:val="1001"/>
        </w:numPr>
      </w:pPr>
      <w:r>
        <w:t xml:space="preserve">Supplementary Tables S1–S13</w:t>
      </w:r>
    </w:p>
    <w:p>
      <w:pPr>
        <w:pStyle w:val="Compact"/>
        <w:numPr>
          <w:ilvl w:val="0"/>
          <w:numId w:val="1001"/>
        </w:numPr>
      </w:pPr>
      <w:r>
        <w:t xml:space="preserve">Supplementary Figures S1–S3</w:t>
      </w:r>
    </w:p>
    <w:p>
      <w:pPr>
        <w:pStyle w:val="Compact"/>
        <w:numPr>
          <w:ilvl w:val="0"/>
          <w:numId w:val="1001"/>
        </w:numPr>
      </w:pPr>
      <w:r>
        <w:t xml:space="preserve">References</w:t>
      </w:r>
    </w:p>
    <w:p>
      <w:r>
        <w:br w:type="page"/>
      </w:r>
    </w:p>
    <w:bookmarkEnd w:id="20"/>
    <w:bookmarkStart w:id="21" w:name="overview"/>
    <w:p>
      <w:pPr>
        <w:pStyle w:val="Heading1"/>
      </w:pPr>
      <w:r>
        <w:t xml:space="preserve">Overview</w:t>
      </w:r>
    </w:p>
    <w:p>
      <w:pPr>
        <w:pStyle w:val="FirstParagraph"/>
      </w:pPr>
      <w:r>
        <w:t xml:space="preserve">This supplement contains supporting, sensitivity and diagnostic analyses for the accompanying manuscript. The main text emphasizes analyses that directly test the dimensionality of group-mean divergence, locomotory allocation, sensory divergence, one-stage weapon–trait integration, within-group matrix structure, and explicitly defined equivalence contrasts. Analyses below evaluate measurement reliability, the robustness of multivariate conclusions to trait definition and morph classification, pairwise matrix comparisons, unequal group sizes, the repeated-leg covariance specification, secondary weapon–trait relationships, sample composition and cross-analysis multiplicity.</w:t>
      </w:r>
    </w:p>
    <w:p>
      <w:pPr>
        <w:pStyle w:val="BodyText"/>
      </w:pPr>
      <w:r>
        <w:t xml:space="preserve">Residual-index models, separate segment-level decompositions and extensive group-specific slope searches are retained in the reproducibility archive but are not promoted as inferential evidence. They either duplicate a one-stage model reported here or do not materially change the biological conclusions.</w:t>
      </w:r>
    </w:p>
    <w:bookmarkEnd w:id="21"/>
    <w:bookmarkStart w:id="28" w:name="supplementary-methods"/>
    <w:p>
      <w:pPr>
        <w:pStyle w:val="Heading1"/>
      </w:pPr>
      <w:r>
        <w:t xml:space="preserve">Supplementary methods</w:t>
      </w:r>
    </w:p>
    <w:bookmarkStart w:id="22" w:name="measurement-reliability"/>
    <w:p>
      <w:pPr>
        <w:pStyle w:val="Heading2"/>
      </w:pPr>
      <w:r>
        <w:t xml:space="preserve">Measurement reliability</w:t>
      </w:r>
    </w:p>
    <w:p>
      <w:pPr>
        <w:pStyle w:val="FirstParagraph"/>
      </w:pPr>
      <w:r>
        <w:t xml:space="preserve">Forty-eight specimens were measured on three occasions. Repeatability was estimated for pooled, morph-adjusted and morph-plus-round models. Relative technical error of measurement, absolute-agreement ICC(A,1), round-pair bias and measurement-order trends were also calculated. The order analyses were treated as diagnostics; their minimum Benjamini–Hochberg-adjusted p-values were 0.524 for signed drift and 0.867 for absolute-error drift.</w:t>
      </w:r>
    </w:p>
    <w:bookmarkEnd w:id="22"/>
    <w:bookmarkStart w:id="23" w:name="multivariate-sensitivity-analyses"/>
    <w:p>
      <w:pPr>
        <w:pStyle w:val="Heading2"/>
      </w:pPr>
      <w:r>
        <w:t xml:space="preserve">Multivariate sensitivity analyses</w:t>
      </w:r>
    </w:p>
    <w:p>
      <w:pPr>
        <w:pStyle w:val="FirstParagraph"/>
      </w:pPr>
      <w:r>
        <w:t xml:space="preserve">The primary female-referenced contrast-vector and PCA analyses excluded composite head size because head length contributed to male morph assignment. Sensitivity analyses restored head size, repeated the rank-one decomposition on unstandardized log traits, and repeated the five-trait PCA after excluding males whose archived labels disagreed with the published 2010 head-length thresholds</w:t>
      </w:r>
      <w:r>
        <w:t xml:space="preserve"> </w:t>
      </w:r>
      <w:r>
        <w:t xml:space="preserve">(Kelly and Adams 2010)</w:t>
      </w:r>
      <w:r>
        <w:t xml:space="preserve">. All randomization analyses used 9,999 permutations. Here,</w:t>
      </w:r>
      <w:r>
        <w:t xml:space="preserve"> </w:t>
      </w:r>
      <w:r>
        <w:rPr>
          <w:i/>
          <w:iCs/>
        </w:rPr>
        <w:t xml:space="preserve">design-weighted variation</w:t>
      </w:r>
      <w:r>
        <w:t xml:space="preserve"> </w:t>
      </w:r>
      <w:r>
        <w:t xml:space="preserve">means sums of squares calculated after the three male-group indicator columns were residualized against the nuisance design (the intercept and group-specific pronotum terms) and orthonormalized. The resulting singular-value decomposition weights each contrast by the information in the observed, unbalanced design rather than assigning equal precision to the three centroid vectors.</w:t>
      </w:r>
    </w:p>
    <w:bookmarkEnd w:id="23"/>
    <w:bookmarkStart w:id="24" w:name="X039846d4ad82b3532b4290dbdfc1c37bf9f5be3"/>
    <w:p>
      <w:pPr>
        <w:pStyle w:val="Heading2"/>
      </w:pPr>
      <w:r>
        <w:t xml:space="preserve">Matrix comparisons and unequal sample sizes</w:t>
      </w:r>
    </w:p>
    <w:p>
      <w:pPr>
        <w:pStyle w:val="FirstParagraph"/>
      </w:pPr>
      <w:r>
        <w:t xml:space="preserve">Within-group covariance and correlation matrices for the five non-head traits were compared using omnibus and pairwise Frobenius-distance randomization tests. Pairwise p-values were adjusted by both Benjamini–Hochberg and Holm procedures. Matrix-element correlations and random-skewers similarities were used as descriptive orientation measures. To evaluate unequal group sizes, each group was repeatedly rarefied to 38 specimens, the size of the tenth-instar male group.</w:t>
      </w:r>
    </w:p>
    <w:bookmarkEnd w:id="24"/>
    <w:bookmarkStart w:id="25" w:name="repeated-leg-covariance-structure"/>
    <w:p>
      <w:pPr>
        <w:pStyle w:val="Heading2"/>
      </w:pPr>
      <w:r>
        <w:t xml:space="preserve">Repeated-leg covariance structure</w:t>
      </w:r>
    </w:p>
    <w:p>
      <w:pPr>
        <w:pStyle w:val="FirstParagraph"/>
      </w:pPr>
      <w:r>
        <w:t xml:space="preserve">The focal repeated-leg model estimated separate residual variances for fore-, mid- and hindlegs and freely estimated the three within-individual residual correlations. It was compared with compound-symmetry and heterogeneous compound-symmetry structures using fits with identical fixed effects. A separate individual-by-leg random intercept is not identifiable because each individual-by-leg cell contains one observation.</w:t>
      </w:r>
    </w:p>
    <w:bookmarkEnd w:id="25"/>
    <w:bookmarkStart w:id="26" w:name="Xf573166f9da9c0f4cb9e25bc742553f201ea76d"/>
    <w:p>
      <w:pPr>
        <w:pStyle w:val="Heading2"/>
      </w:pPr>
      <w:r>
        <w:t xml:space="preserve">Secondary integration, equivalence and sampling checks</w:t>
      </w:r>
    </w:p>
    <w:p>
      <w:pPr>
        <w:pStyle w:val="FirstParagraph"/>
      </w:pPr>
      <w:r>
        <w:t xml:space="preserve">Weapon–leg relationships were estimated in one stage from raw log composite head size while controlling for pronotum length, group and leg identity. Weapon–ear slopes were likewise estimated in one stage and evaluated against a standardized near-zero region of −0.20 to 0.20. This small-effect benchmark was specified for the present revision and was not preregistered. Sensory pairwise comparisons were Holm-adjusted within each six-comparison trait family. Morph-composition χ² tests compared the analysed males with the empirical compositions reported by</w:t>
      </w:r>
      <w:r>
        <w:t xml:space="preserve"> </w:t>
      </w:r>
      <w:r>
        <w:t xml:space="preserve">Kelly and Adams (2010)</w:t>
      </w:r>
      <w:r>
        <w:t xml:space="preserve"> </w:t>
      </w:r>
      <w:r>
        <w:t xml:space="preserve">and</w:t>
      </w:r>
      <w:r>
        <w:t xml:space="preserve"> </w:t>
      </w:r>
      <w:r>
        <w:t xml:space="preserve">Kelly (2026)</w:t>
      </w:r>
      <w:r>
        <w:t xml:space="preserve">; they diagnose compositional mismatch but cannot identify its cause because collection microhabitat and gallery-search effort were not retained.</w:t>
      </w:r>
    </w:p>
    <w:p>
      <w:pPr>
        <w:pStyle w:val="BodyText"/>
      </w:pPr>
      <w:r>
        <w:t xml:space="preserve">Unless otherwise stated, estimation intervals are 95% confidence intervals. Equivalence tests use 90% confidence intervals because a level-0.05 TOST comprises two one-sided tests. The ±2.5% region approximates the largest observed relative technical error (2.57%), while ±5% provides a broader sensitivity benchmark at roughly twice that measurement scale. These regions and the standardized ±0.20 weapon–ear region were specified for this revision as analysis benchmarks rather than preregistered biological thresholds.</w:t>
      </w:r>
    </w:p>
    <w:bookmarkEnd w:id="26"/>
    <w:bookmarkStart w:id="27" w:name="cross-analysis-multiplicity-audit"/>
    <w:p>
      <w:pPr>
        <w:pStyle w:val="Heading2"/>
      </w:pPr>
      <w:r>
        <w:t xml:space="preserve">Cross-analysis multiplicity audit</w:t>
      </w:r>
    </w:p>
    <w:p>
      <w:pPr>
        <w:pStyle w:val="FirstParagraph"/>
      </w:pPr>
      <w:r>
        <w:t xml:space="preserve">The manuscript-defined Holm families remain the inferential corrections for planned contrasts. As a separate sensitivity analysis, ten focal omnibus p-values were adjusted together using Benjamini–Hochberg and Holm procedures. This deliberately conservative audit assesses whether conclusions depend on treating related model families separately.</w:t>
      </w:r>
    </w:p>
    <w:bookmarkEnd w:id="27"/>
    <w:bookmarkEnd w:id="28"/>
    <w:bookmarkStart w:id="35" w:name="supplementary-results"/>
    <w:p>
      <w:pPr>
        <w:pStyle w:val="Heading1"/>
      </w:pPr>
      <w:r>
        <w:t xml:space="preserve">Supplementary results</w:t>
      </w:r>
    </w:p>
    <w:bookmarkStart w:id="29" w:name="Xc189616ccd0ee4889cff4577a44c67ac0529479"/>
    <w:p>
      <w:pPr>
        <w:pStyle w:val="Heading2"/>
      </w:pPr>
      <w:r>
        <w:t xml:space="preserve">Reliability and measurement-session effects</w:t>
      </w:r>
    </w:p>
    <w:p>
      <w:pPr>
        <w:pStyle w:val="FirstParagraph"/>
      </w:pPr>
      <w:r>
        <w:t xml:space="preserve">All traits were highly repeatable, and the conclusions were unchanged after adjustment for morph and measurement round (Table S1). Round effects were detectable for several traits, but their magnitude was small relative to among-individual variation. No evidence of progressive signed or absolute-error drift was detected within remeasurement sessions.</w:t>
      </w:r>
    </w:p>
    <w:bookmarkEnd w:id="29"/>
    <w:bookmarkStart w:id="30" w:name="directional-dimensionality"/>
    <w:p>
      <w:pPr>
        <w:pStyle w:val="Heading2"/>
      </w:pPr>
      <w:r>
        <w:t xml:space="preserve">Directional dimensionality</w:t>
      </w:r>
    </w:p>
    <w:p>
      <w:pPr>
        <w:pStyle w:val="FirstParagraph"/>
      </w:pPr>
      <w:r>
        <w:t xml:space="preserve">The primary rank-one model captured 88.8% of design-weighted group-effect variation, while the standardized six-trait and raw-log six-trait sensitivities captured 90.3% and 98.3%, respectively. In every case the residual component beyond rank one exceeded the randomization distribution (&lt;0.001; Table S7). Parallel analysis retained one component in the primary five-trait analysis, the six-trait sensitivity and the classification-exclusion sensitivity (Supplementary Figure S2). These results are not contradictory: the rank-one permutation test asks whether the three adjusted group-mean contrast vectors share exactly one direction, whereas parallel analysis asks how many axes exceed chance in adjusted individual-level variation. A small but systematic rotation of group centroids can therefore reject exact rank one even when only PC1 exceeds the individual-level parallel threshold. The data consistently show one dominant dimension together with a smaller, statistically supported secondary direction in the adjusted group means.</w:t>
      </w:r>
    </w:p>
    <w:bookmarkEnd w:id="30"/>
    <w:bookmarkStart w:id="31" w:name="matrix-structure"/>
    <w:p>
      <w:pPr>
        <w:pStyle w:val="Heading2"/>
      </w:pPr>
      <w:r>
        <w:t xml:space="preserve">Matrix structure</w:t>
      </w:r>
    </w:p>
    <w:p>
      <w:pPr>
        <w:pStyle w:val="FirstParagraph"/>
      </w:pPr>
      <w:r>
        <w:t xml:space="preserve">The primary five-trait omnibus tests detected neither a covariance-matrix difference (0.398) nor a correlation-matrix difference (0.848; Supplementary Figure S1). The six-trait sensitivity detected a covariance-magnitude difference (0.042), but not a correlation-matrix difference (0.581). Support for covariance but not correlation differences indicates a variance-scale effect rather than a change in correlation orientation. Because head size was the only added trait and is linked to morph classification, this signal is confined to the head-including sensitivity and does not overturn the primary five-trait conclusion. No five-trait pairwise matrix comparison survived Holm adjustment (Table S8). Matrix-element correlations, random-skewers similarities and rarefaction summaries are reported in Table S9 rather than interpreted as independent hypothesis tests.</w:t>
      </w:r>
    </w:p>
    <w:bookmarkEnd w:id="31"/>
    <w:bookmarkStart w:id="32" w:name="X5ec1f042bdd5900f0dbc003bdc44a265a527f96"/>
    <w:p>
      <w:pPr>
        <w:pStyle w:val="Heading2"/>
      </w:pPr>
      <w:r>
        <w:t xml:space="preserve">Repeated-leg covariance and secondary analyses</w:t>
      </w:r>
    </w:p>
    <w:p>
      <w:pPr>
        <w:pStyle w:val="FirstParagraph"/>
      </w:pPr>
      <w:r>
        <w:t xml:space="preserve">The unstructured repeated-leg covariance was strongly preferred to heterogeneous compound symmetry (likelihood-ratio statistic = 74.50, &lt;0.001; Table S10). Pairwise residual correlations ranged from 0.690 to 0.871. All 12 one-stage weapon–leg point estimates were positive, and 11 had 95% confidence intervals that excluded zero. The exception was the tenth-instar foreleg slope (β = 0.234, 95% CI −0.050 to 0.518, p = 0.106). Planned differences among slopes were imprecise (Tables S3–S4). Table S3 is descriptive, and no inferential claim rests on its unadjusted individual slope tests. Weapon–ear slopes were not equivalent to the revision-defined near-zero region in any group (Table S5).</w:t>
      </w:r>
    </w:p>
    <w:bookmarkEnd w:id="32"/>
    <w:bookmarkStart w:id="33" w:name="classification-and-sample-composition"/>
    <w:p>
      <w:pPr>
        <w:pStyle w:val="Heading2"/>
      </w:pPr>
      <w:r>
        <w:t xml:space="preserve">Classification and sample composition</w:t>
      </w:r>
    </w:p>
    <w:p>
      <w:pPr>
        <w:pStyle w:val="FirstParagraph"/>
      </w:pPr>
      <w:r>
        <w:t xml:space="preserve">The archived file contained 195 males. Applying the published 2010 thresholds changed 10 labels (5.1%). Excluding those specimens did not alter the head-adjusted eye-length omnibus conclusion (Table S11). Male composition differed from both published empirical references (Table S11), but the source of the difference cannot be resolved from the archive. The 7.2-mm reference pronotum used for adjusted comparisons fell within the observed range of every group (Supplementary Figure S3).</w:t>
      </w:r>
    </w:p>
    <w:bookmarkEnd w:id="33"/>
    <w:bookmarkStart w:id="34" w:name="cross-analysis-multiplicity"/>
    <w:p>
      <w:pPr>
        <w:pStyle w:val="Heading2"/>
      </w:pPr>
      <w:r>
        <w:t xml:space="preserve">Cross-analysis multiplicity</w:t>
      </w:r>
    </w:p>
    <w:p>
      <w:pPr>
        <w:pStyle w:val="FirstParagraph"/>
      </w:pPr>
      <w:r>
        <w:t xml:space="preserve">The group-by-leg allocation effect and the raw-head weapon–leg interaction remained supported in the conservative ten-test audit. The body-size-by-group-by-leg interaction was unsupported before and after adjustment (Table S12). These results reinforce the decision to treat detailed allometric-slope comparisons as exploratory.</w:t>
      </w:r>
    </w:p>
    <w:p>
      <w:r>
        <w:br w:type="page"/>
      </w:r>
    </w:p>
    <w:bookmarkEnd w:id="34"/>
    <w:bookmarkEnd w:id="35"/>
    <w:bookmarkStart w:id="36" w:name="supplementary-tables"/>
    <w:p>
      <w:pPr>
        <w:pStyle w:val="Heading1"/>
      </w:pPr>
      <w:r>
        <w:t xml:space="preserve">Supplementary tables</w:t>
      </w:r>
    </w:p>
    <w:p>
      <w:pPr>
        <w:pStyle w:val="FirstParagraph"/>
      </w:pPr>
      <w:r>
        <w:rPr>
          <w:b/>
          <w:bCs/>
        </w:rPr>
        <w:t xml:space="preserve">Supplementary Table S1.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Pooled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Morph-adjusted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Morph + round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rTEM (%)</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ICC(A,1)</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 bias (%)</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50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Pronotum length</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(0.9916–0.9968)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(0.9690–0.9887)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(0.9900–0.9965)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Head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(0.9995–0.9998)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(0.9931–0.9976)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(0.9968–0.9989)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Head width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(0.9984–0.9994)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(0.9810–0.9932)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(0.9894–0.9962)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Forefemur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(0.9893–0.9962)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(0.9642–0.9869)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(0.9657–0.9876)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0.136</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Foretibia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(0.9887–0.9960)</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(0.9687–0.9889)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(0.9765–0.9917)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Midfemur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(0.9911–0.9967)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(0.9707–0.9893)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(0.9750–0.9909)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Midtibia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(0.9930–0.9975)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(0.9790–0.9925)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(0.9788–0.9926)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Hindfemur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(0.9924–0.9972)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(0.9724–0.9898)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(0.9742–0.9905)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0.039</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Hindtibia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(0.9773–0.9919)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(0.9249–0.9733)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(0.9302–0.9754)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0.039</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Ear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(0.9610–0.9855)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(0.9158–0.9691)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(0.9276–0.9736)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506"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(0.9841–0.9942)</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(0.9527–0.9826)</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(0.9519–0.9824)</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0.9906</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r>
    </w:tbl>
    <w:p>
      <w:pPr>
        <w:pStyle w:val="BodyText"/>
      </w:pPr>
      <w:r>
        <w:rPr>
          <w:i/>
          <w:iCs/>
        </w:rPr>
        <w:t xml:space="preserve">Note.</w:t>
      </w:r>
      <w:r>
        <w:t xml:space="preserve"> </w:t>
      </w:r>
      <w:r>
        <w:t xml:space="preserve">Repeatability values are individual-level ICCs with 95% bootstrap confidence intervals. rTEM is the within-individual standard deviation divided by the trait mean × 100. ICC(A,1) is the single-measure absolute-agreement coefficient. Maximum bias is the largest absolute round-pair mean difference as a percentage of the trait mean. Round-effect p-values are Holm-adjusted across traits.</w:t>
      </w:r>
    </w:p>
    <w:p>
      <w:r>
        <w:br w:type="page"/>
      </w:r>
    </w:p>
    <w:p>
      <w:pPr>
        <w:pStyle w:val="BodyText"/>
      </w:pPr>
      <w:r>
        <w:rPr>
          <w:b/>
          <w:bCs/>
        </w:rPr>
        <w:t xml:space="preserve">Supplementary Table S2. Pairwise descriptions of standardized female-referenced contrast vectors for the five nonclassification traits. D8, D9 and D10 denote the female-referenced eighth-, ninth- and tenth-instar male vectors. Angular tests and confidence intervals are supporting descriptions; the global rank-one test is the primary directional test.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Angle (°)</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Angle Holm 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magnitude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lower 95%</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upper 95%</w:t>
            </w:r>
          </w:p>
        </w:tc>
      </w:tr>
      <w:tr>
        <w:trPr>
          <w:cantSplit/>
          <w:trHeight w:val="361"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D8–D9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46.3</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w:t>
            </w:r>
          </w:p>
        </w:tc>
      </w:tr>
      <w:tr>
        <w:trPr>
          <w:cantSplit/>
          <w:trHeight w:val="361"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D8–D10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36.9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3.17</w:t>
            </w:r>
          </w:p>
        </w:tc>
      </w:tr>
      <w:tr>
        <w:trPr>
          <w:cantSplit/>
          <w:trHeight w:val="361"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D9–D10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1.11</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2.22</w:t>
            </w:r>
          </w:p>
        </w:tc>
      </w:tr>
    </w:tbl>
    <w:p>
      <w:r>
        <w:br w:type="page"/>
      </w:r>
    </w:p>
    <w:p>
      <w:pPr>
        <w:pStyle w:val="BodyText"/>
      </w:pPr>
      <w:r>
        <w:rPr>
          <w:b/>
          <w:bCs/>
        </w:rPr>
        <w:t xml:space="preserve">Supplementary Table S3. Descriptive group- and leg-specific partial slopes of log leg length on raw log composite head size, where composite head size is the geometric mean of head length and head width. The one-stage repeated-trait model also contains log pronotum length, group, leg identity and their specified interactions. Individual slope p-values are unadjusted, and no inferential claim rests on these tests.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Leg</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Slope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95% CI</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0.419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0.281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0.557</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0.459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0.347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0.570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0.323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0.216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0.430</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-0.050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0.518</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0.106</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0.422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0.288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0.555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0.472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0.580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0.464</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0.093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0.009</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0.489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0.348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0.533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0.830</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r>
        <w:br w:type="page"/>
      </w:r>
    </w:p>
    <w:p>
      <w:pPr>
        <w:pStyle w:val="BodyText"/>
      </w:pPr>
      <w:r>
        <w:rPr>
          <w:b/>
          <w:bCs/>
        </w:rPr>
        <w:t xml:space="preserve">Supplementary Table S4. Planned contrasts among weapon–leg slopes. P-values are Holm-adjusted within the three-contrast family for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Leg</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Difference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family</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0.448</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Foreleg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0.804</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Foreleg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0.499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Foreleg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Midleg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Midleg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Midleg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Hindleg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Hindleg</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-0.099</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0.304</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0.891</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Hindleg</w:t>
            </w:r>
          </w:p>
        </w:tc>
      </w:tr>
    </w:tbl>
    <w:p>
      <w:r>
        <w:br w:type="page"/>
      </w:r>
    </w:p>
    <w:p>
      <w:pPr>
        <w:pStyle w:val="BodyText"/>
      </w:pPr>
      <w:r>
        <w:rPr>
          <w:b/>
          <w:bCs/>
        </w:rPr>
        <w:t xml:space="preserve">Supplementary Table S5. Within-group standardized partial slopes of log linearized tympanal size on raw log composite head size, controlling for log pronotum length. Linearized tympanal size is the square root of tympanal area. Equivalence required the complete 90% confidence interval to fall within −0.20 to 0.20; robust slopes are Huber M-estimates.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Standardized slope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Robust slope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TOST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Equivalent within ±0.20</w:t>
            </w:r>
          </w:p>
        </w:tc>
      </w:tr>
      <w:tr>
        <w:trPr>
          <w:cantSplit/>
          <w:trHeight w:val="371"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0.676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0.437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78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0.275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0.043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0.507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0.263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371"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0.172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371"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-0.077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0.513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0.221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0.541</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bl>
    <w:p>
      <w:r>
        <w:br w:type="page"/>
      </w:r>
    </w:p>
    <w:p>
      <w:pPr>
        <w:pStyle w:val="BodyText"/>
      </w:pPr>
      <w:r>
        <w:rPr>
          <w:b/>
          <w:bCs/>
        </w:rPr>
        <w:t xml:space="preserve">Supplementary Table S6. All pairwise group contrasts in size-adjusted tympanal area and eye length at a pronotum length of 7.2 mm. Ratios greater than one indicate that the first named group had the larger predicted trait. P-values are Holm-adjusted within the six group pairs for each trait.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family</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0.930</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0.757</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bl>
    <w:p>
      <w:r>
        <w:br w:type="page"/>
      </w:r>
    </w:p>
    <w:p>
      <w:pPr>
        <w:pStyle w:val="BodyText"/>
      </w:pPr>
      <w:r>
        <w:rPr>
          <w:b/>
          <w:bCs/>
        </w:rPr>
        <w:t xml:space="preserve">Supplementary Table S7. Sensitivity of dimensionality conclusions to trait definition, scaling and morph-classification uncertainty.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Approach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Scenario</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Estimate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Null reference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Conclusion</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rank-one test</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standardized; head excluded (primary)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88.8% captured by rank one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 percentile = 2.1%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direction detected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rank-one test</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standardized; head included</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90.3% captured by rank one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 percentile = 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direction detected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rank-one test</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on raw log scale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98.3% captured by rank one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 percentile = 0.4%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direction detected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standardized; head excluded (primary)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68.7%; eigenvalue 3.433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1.238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standardized; head included</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68.6%; eigenvalue 4.116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1.268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after excluding classification-sensitive males</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68.4%; eigenvalue 3.418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1.242</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bl>
    <w:p>
      <w:r>
        <w:br w:type="page"/>
      </w:r>
    </w:p>
    <w:p>
      <w:pPr>
        <w:pStyle w:val="BodyText"/>
      </w:pPr>
      <w:r>
        <w:rPr>
          <w:b/>
          <w:bCs/>
        </w:rPr>
        <w:t xml:space="preserve">Supplementary Table S8. Omnibus and pairwise permutation comparisons of within-group covariance and correlation matrices. Pairwise p-values are reported with both Benjamini–Hochberg and Holm adjustment across the six group pairs within each matrix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 set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Matrix</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Statistic</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Permutations</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Five non-head traits (primary)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Covariance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116.446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0.398</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Five non-head traits (primary)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0.848</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Six traits including head (sensitivity)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325.208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0.042</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Six traits including head (sensitivity)</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Correlation</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0.825</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0.581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1"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Matrix</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Frobenius distance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Raw 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BH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0.585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1.546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0.692</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1.420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0.997</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0.620</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0.694</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bl>
    <w:p>
      <w:r>
        <w:br w:type="page"/>
      </w:r>
    </w:p>
    <w:p>
      <w:pPr>
        <w:pStyle w:val="BodyText"/>
      </w:pPr>
      <w:r>
        <w:rPr>
          <w:b/>
          <w:bCs/>
        </w:rPr>
        <w:t xml:space="preserve">Supplementary Table S9. Descriptive matrix similarities and unequal-sample-size rarefaction. Rarefaction used 2,000 subsamples that reduced each group to 38 specimens; intervals are the 2.5th and 97.5th percentiles of the resulting distance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Matrix</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Element correlation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Random-skewers similarity</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Rarefied distance, median (95% interval)</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Target n</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1.399 (0.765–2.471)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1.363 (0.720–2.728)</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1.096 (0.657–2.163)</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1.145 (0.631–2.093)</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1.669 (0.973–2.502)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1.515 (0.787–2.585)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0.664 (0.327–1.148)</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0.624 (0.289–1.314)</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0.733 (0.454–1.264)</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0.671 (0.337–1.221)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0.703 (0.390–1.139)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0.952</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0.594 (0.354–0.954)</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bl>
    <w:p>
      <w:r>
        <w:br w:type="page"/>
      </w:r>
    </w:p>
    <w:p>
      <w:pPr>
        <w:pStyle w:val="BodyText"/>
      </w:pPr>
      <w:r>
        <w:rPr>
          <w:b/>
          <w:bCs/>
        </w:rPr>
        <w:t xml:space="preserve">Supplementary Table S10. Comparison of covariance structures for the repeated-leg model. All models contain the same fixed-effects specification and were fitted by REML.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Model</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Parameters</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AIC</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BIC</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Log likelihood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Comparison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Likelihood-ratio statistic</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Compound symmetry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-4,009.84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-3,884.64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2,030.92</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Heterogeneous compound symmetry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-4,019.19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-3,884.36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2,037.60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 vs 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385"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Unstructured covariance</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-4,089.70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-3,945.23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2,074.85</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 vs 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74.50</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bl>
    <w:p>
      <w:pPr>
        <w:pStyle w:val="BodyText"/>
      </w:pPr>
      <w:r>
        <w:rPr>
          <w:b/>
          <w:bCs/>
        </w:rPr>
        <w:t xml:space="preserve">Estimated parameters from the selected unstructured covariance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8"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Parameter</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Estimate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Foreleg-midleg residual correlation</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0.871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Foreleg-hindleg residual correlation</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0.690</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Midleg-hindleg residual correlation</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0.725</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Midleg/foreleg residual SD ratio</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0.997</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Hindleg/foreleg residual SD ratio</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1.074</w:t>
            </w:r>
          </w:p>
        </w:tc>
      </w:tr>
    </w:tbl>
    <w:p>
      <w:r>
        <w:br w:type="page"/>
      </w:r>
    </w:p>
    <w:p>
      <w:pPr>
        <w:pStyle w:val="BodyText"/>
      </w:pPr>
      <w:r>
        <w:rPr>
          <w:b/>
          <w:bCs/>
        </w:rPr>
        <w:t xml:space="preserve">Supplementary Table S11. Morph-classification, head-adjusted eye and sample-composition sensitivity checks. Observed counts are ordered as eighth / ninth / tenth instar.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Reference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Observed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eighth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ninth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tenth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χ²</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df</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Kelly 2026 retained assignments</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 79 / 38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44.1%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Kelly and Adams 2010 field sample</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 79 / 38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9.29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r>
    </w:tbl>
    <w:p>
      <w:pPr>
        <w:pStyle w:val="BodyText"/>
      </w:pPr>
      <w:r>
        <w:rPr>
          <w:b/>
          <w:bCs/>
        </w:rPr>
        <w:t xml:space="preserve">Classification-exclusion sensitivity for the head-adjusted eye-length group test. The corresponding full-sample group test is reported once, in the joint-model panel below.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Dataset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Numerator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Residual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F</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6" w:space="0" w:color="7F7F7F"/>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Excluded labels disagreeing with 2010 cutoffs</w:t>
            </w:r>
          </w:p>
        </w:tc>
        <w:tc>
          <w:tcPr>
            <w:tcBorders>
              <w:bottom w:val="single" w:sz="6" w:space="0" w:color="7F7F7F"/>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single" w:sz="6" w:space="0" w:color="7F7F7F"/>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297</w:t>
            </w:r>
          </w:p>
        </w:tc>
        <w:tc>
          <w:tcPr>
            <w:tcBorders>
              <w:bottom w:val="single" w:sz="6" w:space="0" w:color="7F7F7F"/>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10.79</w:t>
            </w:r>
          </w:p>
        </w:tc>
        <w:tc>
          <w:tcPr>
            <w:tcBorders>
              <w:bottom w:val="single" w:sz="6" w:space="0" w:color="7F7F7F"/>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pPr>
        <w:pStyle w:val="BodyText"/>
      </w:pPr>
      <w:r>
        <w:rPr>
          <w:b/>
          <w:bCs/>
        </w:rPr>
        <w:t xml:space="preserve">Head-size and group contributions to eye length when pronotum, composite head size and group are fitted jointly.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3"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Analysis</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Numerator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Residual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F</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Head-size contribution to eye length after pronotum and group</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112.99</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Group effect on eye length after pronotum and head size</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10.65</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r>
        <w:br w:type="page"/>
      </w:r>
    </w:p>
    <w:p>
      <w:pPr>
        <w:pStyle w:val="BodyText"/>
      </w:pPr>
      <w:r>
        <w:rPr>
          <w:b/>
          <w:bCs/>
        </w:rPr>
        <w:t xml:space="preserve">Observed composite head-size ranges. The reversed common bounds show that the four groups have no shared head-size support.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Group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Minimum head size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Maximum head size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lower bound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upper bound</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support</w:t>
            </w:r>
          </w:p>
        </w:tc>
      </w:tr>
      <w:tr>
        <w:trPr>
          <w:cantSplit/>
          <w:trHeight w:val="364"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8.491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9.794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14.034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13.321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17.299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64"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19.673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bl>
    <w:p>
      <w:r>
        <w:br w:type="page"/>
      </w:r>
    </w:p>
    <w:p>
      <w:pPr>
        <w:pStyle w:val="BodyText"/>
      </w:pPr>
      <w:r>
        <w:rPr>
          <w:b/>
          <w:bCs/>
        </w:rPr>
        <w:t xml:space="preserve">Supplementary Table S12. Conservative cross-analysis multiplicity sensitivity for ten focal omnibus tests. This audit does not replace the manuscript-defined families used for planned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Analysis</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Tier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Raw 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BH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allocation group x 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allometry body size x group</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0.122</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allometry body size x group x 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0.671</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head size x group x 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0.016</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Ear body-size slope x group</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body-size slope x group</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ear-foretibia slope x group</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eye-head slope x group</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0.707</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weapon-ear slope x group</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Five-trait correlation-matrix equality</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bl>
    <w:p>
      <w:r>
        <w:br w:type="page"/>
      </w:r>
    </w:p>
    <w:p>
      <w:pPr>
        <w:pStyle w:val="BodyText"/>
      </w:pPr>
      <w:r>
        <w:rPr>
          <w:b/>
          <w:bCs/>
        </w:rPr>
        <w:t xml:space="preserve">Supplementary Table S13. Sensitivity of ninth-instar midpoint equivalence to ±2.5% and ±5% regions. Equivalence requires the complete 90% confidence interval to fall within the stated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Scale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Equivalence region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TOST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Equivalent</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area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0.263</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area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bl>
    <w:p>
      <w:r>
        <w:br w:type="page"/>
      </w:r>
    </w:p>
    <w:bookmarkEnd w:id="36"/>
    <w:bookmarkStart w:id="46" w:name="supplementary-figures"/>
    <w:p>
      <w:pPr>
        <w:pStyle w:val="Heading1"/>
      </w:pPr>
      <w:r>
        <w:t xml:space="preserve">Supplementary figures</w:t>
      </w:r>
    </w:p>
    <w:p>
      <w:pPr>
        <w:pStyle w:val="FirstParagraph"/>
      </w:pPr>
      <w:r>
        <w:rPr>
          <w:b/>
          <w:bCs/>
        </w:rPr>
        <w:t xml:space="preserve">Supplementary Figure S1. Within-group correlation matrices of size-adjusted residuals for foreleg, midleg, hindleg, linearized tympanal size and eye length. Head size was excluded because head length contributed to male morph assignment. The omnibus permutation test detected no difference among correlation matrices (p = 0.8475).</w:t>
      </w:r>
    </w:p>
    <w:p>
      <w:pPr>
        <w:pStyle w:val="BodyText"/>
      </w:pPr>
      <w:r>
        <w:drawing>
          <wp:inline>
            <wp:extent cx="5670550" cy="5513034"/>
            <wp:effectExtent b="0" l="0" r="0" t="0"/>
            <wp:docPr descr="" title="" id="38" name="Picture"/>
            <a:graphic>
              <a:graphicData uri="http://schemas.openxmlformats.org/drawingml/2006/picture">
                <pic:pic>
                  <pic:nvPicPr>
                    <pic:cNvPr descr="analysis_outputs/weta_trait_analysis/figures/group_trait_correlation_matrices.png" id="39" name="Picture"/>
                    <pic:cNvPicPr>
                      <a:picLocks noChangeArrowheads="1" noChangeAspect="1"/>
                    </pic:cNvPicPr>
                  </pic:nvPicPr>
                  <pic:blipFill>
                    <a:blip r:embed="rId37"/>
                    <a:stretch>
                      <a:fillRect/>
                    </a:stretch>
                  </pic:blipFill>
                  <pic:spPr bwMode="auto">
                    <a:xfrm>
                      <a:off x="0" y="0"/>
                      <a:ext cx="5670550" cy="5513034"/>
                    </a:xfrm>
                    <a:prstGeom prst="rect">
                      <a:avLst/>
                    </a:prstGeom>
                    <a:noFill/>
                    <a:ln w="9525">
                      <a:noFill/>
                      <a:headEnd/>
                      <a:tailEnd/>
                    </a:ln>
                  </pic:spPr>
                </pic:pic>
              </a:graphicData>
            </a:graphic>
          </wp:inline>
        </w:drawing>
      </w:r>
    </w:p>
    <w:p>
      <w:pPr>
        <w:pStyle w:val="BodyText"/>
      </w:pPr>
      <w:r>
        <w:rPr>
          <w:b/>
          <w:bCs/>
        </w:rPr>
        <w:t xml:space="preserve">Supplementary Figure S2. Individual scores on the first two principal components of the five nonclassification traits after group-specific adjustment to a pronotum length of 7.2 mm. Diamonds show group centroids and ellipses show descriptive 68% normal regions. Parallel analysis retained PC1 but not PC2.</w:t>
      </w:r>
    </w:p>
    <w:p>
      <w:pPr>
        <w:pStyle w:val="BodyText"/>
      </w:pPr>
      <w:r>
        <w:drawing>
          <wp:inline>
            <wp:extent cx="5670550" cy="4295871"/>
            <wp:effectExtent b="0" l="0" r="0" t="0"/>
            <wp:docPr descr="" title="" id="41" name="Picture"/>
            <a:graphic>
              <a:graphicData uri="http://schemas.openxmlformats.org/drawingml/2006/picture">
                <pic:pic>
                  <pic:nvPicPr>
                    <pic:cNvPr descr="analysis_outputs/weta_trait_analysis/figures/pca_group_scores.png" id="42" name="Picture"/>
                    <pic:cNvPicPr>
                      <a:picLocks noChangeArrowheads="1" noChangeAspect="1"/>
                    </pic:cNvPicPr>
                  </pic:nvPicPr>
                  <pic:blipFill>
                    <a:blip r:embed="rId40"/>
                    <a:stretch>
                      <a:fillRect/>
                    </a:stretch>
                  </pic:blipFill>
                  <pic:spPr bwMode="auto">
                    <a:xfrm>
                      <a:off x="0" y="0"/>
                      <a:ext cx="5670550" cy="4295871"/>
                    </a:xfrm>
                    <a:prstGeom prst="rect">
                      <a:avLst/>
                    </a:prstGeom>
                    <a:noFill/>
                    <a:ln w="9525">
                      <a:noFill/>
                      <a:headEnd/>
                      <a:tailEnd/>
                    </a:ln>
                  </pic:spPr>
                </pic:pic>
              </a:graphicData>
            </a:graphic>
          </wp:inline>
        </w:drawing>
      </w:r>
    </w:p>
    <w:p>
      <w:r>
        <w:br w:type="page"/>
      </w:r>
    </w:p>
    <w:p>
      <w:pPr>
        <w:pStyle w:val="BodyText"/>
      </w:pPr>
      <w:r>
        <w:rPr>
          <w:b/>
          <w:bCs/>
        </w:rPr>
        <w:t xml:space="preserve">Supplementary Figure S3. Observed pronotum-length distributions by group. The dashed line marks the 7.2-mm reference used for adjusted means and contrasts; it falls within the common observed support of all four groups.</w:t>
      </w:r>
    </w:p>
    <w:p>
      <w:pPr>
        <w:pStyle w:val="BodyText"/>
      </w:pPr>
      <w:r>
        <w:drawing>
          <wp:inline>
            <wp:extent cx="5670550" cy="4050392"/>
            <wp:effectExtent b="0" l="0" r="0" t="0"/>
            <wp:docPr descr="" title="" id="44" name="Picture"/>
            <a:graphic>
              <a:graphicData uri="http://schemas.openxmlformats.org/drawingml/2006/picture">
                <pic:pic>
                  <pic:nvPicPr>
                    <pic:cNvPr descr="analysis_outputs/weta_trait_analysis/figures/body_size_distributions.png" id="45" name="Picture"/>
                    <pic:cNvPicPr>
                      <a:picLocks noChangeArrowheads="1" noChangeAspect="1"/>
                    </pic:cNvPicPr>
                  </pic:nvPicPr>
                  <pic:blipFill>
                    <a:blip r:embed="rId43"/>
                    <a:stretch>
                      <a:fillRect/>
                    </a:stretch>
                  </pic:blipFill>
                  <pic:spPr bwMode="auto">
                    <a:xfrm>
                      <a:off x="0" y="0"/>
                      <a:ext cx="5670550" cy="4050392"/>
                    </a:xfrm>
                    <a:prstGeom prst="rect">
                      <a:avLst/>
                    </a:prstGeom>
                    <a:noFill/>
                    <a:ln w="9525">
                      <a:noFill/>
                      <a:headEnd/>
                      <a:tailEnd/>
                    </a:ln>
                  </pic:spPr>
                </pic:pic>
              </a:graphicData>
            </a:graphic>
          </wp:inline>
        </w:drawing>
      </w:r>
    </w:p>
    <w:p>
      <w:r>
        <w:br w:type="page"/>
      </w:r>
    </w:p>
    <w:bookmarkEnd w:id="46"/>
    <w:bookmarkStart w:id="52" w:name="references"/>
    <w:p>
      <w:pPr>
        <w:pStyle w:val="Heading1"/>
      </w:pPr>
      <w:r>
        <w:t xml:space="preserve">References</w:t>
      </w:r>
    </w:p>
    <w:bookmarkStart w:id="51" w:name="refs"/>
    <w:bookmarkStart w:id="48" w:name="ref-kelly2026"/>
    <w:p>
      <w:pPr>
        <w:pStyle w:val="Bibliography"/>
      </w:pPr>
      <w:r>
        <w:t xml:space="preserve">Kelly, Clint D. 2026.</w:t>
      </w:r>
      <w:r>
        <w:t xml:space="preserve"> </w:t>
      </w:r>
      <w:r>
        <w:t xml:space="preserve">“Can the Form of Sexual Selection Explain Patterns of Static Weapon Allometry Expressed by Alternative Mating Morphotypes?”</w:t>
      </w:r>
      <w:r>
        <w:t xml:space="preserve"> </w:t>
      </w:r>
      <w:r>
        <w:rPr>
          <w:i/>
          <w:iCs/>
        </w:rPr>
        <w:t xml:space="preserve">Evolution</w:t>
      </w:r>
      <w:r>
        <w:t xml:space="preserve"> </w:t>
      </w:r>
      <w:r>
        <w:t xml:space="preserve">80 (1): 191–201.</w:t>
      </w:r>
      <w:r>
        <w:t xml:space="preserve"> </w:t>
      </w:r>
      <w:hyperlink r:id="rId47">
        <w:r>
          <w:rPr>
            <w:rStyle w:val="Hyperlink"/>
          </w:rPr>
          <w:t xml:space="preserve">https://doi.org/10.1093/evolut/qpaf215</w:t>
        </w:r>
      </w:hyperlink>
      <w:r>
        <w:t xml:space="preserve">.</w:t>
      </w:r>
    </w:p>
    <w:bookmarkEnd w:id="48"/>
    <w:bookmarkStart w:id="50" w:name="ref-kelly2010"/>
    <w:p>
      <w:pPr>
        <w:pStyle w:val="Bibliography"/>
      </w:pPr>
      <w:r>
        <w:t xml:space="preserve">Kelly, Clint D., and Dean C. Adams. 2010.</w:t>
      </w:r>
      <w:r>
        <w:t xml:space="preserve"> </w:t>
      </w:r>
      <w:r>
        <w:t xml:space="preserve">“Sexual Selection, Ontogenetic Acceleration, and Hypermorphosis Generates Male Trimorphism in</w:t>
      </w:r>
      <w:r>
        <w:t xml:space="preserve"> </w:t>
      </w:r>
      <w:r>
        <w:t xml:space="preserve">Wellington</w:t>
      </w:r>
      <w:r>
        <w:t xml:space="preserve"> </w:t>
      </w:r>
      <w:r>
        <w:t xml:space="preserve">Tree Weta.”</w:t>
      </w:r>
      <w:r>
        <w:t xml:space="preserve"> </w:t>
      </w:r>
      <w:r>
        <w:rPr>
          <w:i/>
          <w:iCs/>
        </w:rPr>
        <w:t xml:space="preserve">Evolutionary Biology</w:t>
      </w:r>
      <w:r>
        <w:t xml:space="preserve"> </w:t>
      </w:r>
      <w:r>
        <w:t xml:space="preserve">37 (4): 200–209.</w:t>
      </w:r>
      <w:r>
        <w:t xml:space="preserve"> </w:t>
      </w:r>
      <w:hyperlink r:id="rId49">
        <w:r>
          <w:rPr>
            <w:rStyle w:val="Hyperlink"/>
          </w:rPr>
          <w:t xml:space="preserve">https://doi.org/10.1007/s11692-010-9096-1</w:t>
        </w:r>
      </w:hyperlink>
      <w:r>
        <w:t xml:space="preserve">.</w:t>
      </w:r>
    </w:p>
    <w:bookmarkEnd w:id="50"/>
    <w:bookmarkEnd w:id="51"/>
    <w:bookmarkEnd w:id="52"/>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hyperlink" Id="rId49" Target="https://doi.org/10.1007/s11692-010-9096-1" TargetMode="External" /><Relationship Type="http://schemas.openxmlformats.org/officeDocument/2006/relationships/hyperlink" Id="rId47" Target="https://doi.org/10.1093/evolut/qpaf215"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07/s11692-010-9096-1" TargetMode="External" /><Relationship Type="http://schemas.openxmlformats.org/officeDocument/2006/relationships/hyperlink" Id="rId47" Target="https://doi.org/10.1093/evolut/qpaf2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Clint D. Kelly</dc:creator>
  <cp:keywords/>
  <dcterms:created xsi:type="dcterms:W3CDTF">2026-09-21T21:02:56Z</dcterms:created>
  <dcterms:modified xsi:type="dcterms:W3CDTF">2026-09-21T21:02:56Z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Bibliography.bib</vt:lpwstr>
  </property>
  <property fmtid="{D5CDD505-2E9C-101B-9397-08002B2CF9AE}" pid="6" name="by-affiliation">
    <vt:lpwstr/>
  </property>
  <property fmtid="{D5CDD505-2E9C-101B-9397-08002B2CF9AE}" pid="7" name="by-author">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Coordinated locomotory and sensory divergence across alternative mating strategies in Wellington tree wētā</vt:lpwstr>
  </property>
  <property fmtid="{D5CDD505-2E9C-101B-9397-08002B2CF9AE}" pid="14" name="toc-title">
    <vt:lpwstr>Table of contents</vt:lpwstr>
  </property>
</Properties>
</file>