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rId38.png" ContentType="image/png"/>
  <Override PartName="/word/media/rId44.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Wellington tree wētā morphological allocation</w:t>
      </w:r>
    </w:p>
    <w:p>
      <w:pPr>
        <w:pStyle w:val="Subtitle"/>
      </w:pPr>
      <w:r>
        <w:t xml:space="preserve">Draft Results section</w:t>
      </w:r>
    </w:p>
    <w:p>
      <w:pPr>
        <w:pStyle w:val="Author"/>
      </w:pPr>
    </w:p>
    <w:bookmarkStart w:id="51" w:name="results"/>
    <w:p>
      <w:pPr>
        <w:pStyle w:val="Heading1"/>
      </w:pPr>
      <w:r>
        <w:t xml:space="preserve">1. Results</w:t>
      </w:r>
    </w:p>
    <w:bookmarkStart w:id="21" w:name="sample-composition-and-body-size-overlap"/>
    <w:p>
      <w:pPr>
        <w:pStyle w:val="Heading2"/>
      </w:pPr>
      <w:r>
        <w:t xml:space="preserve">1.1 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size of 7.2 mm used for adjusted comparisons therefore lay within the region of common support.</w:t>
      </w:r>
    </w:p>
    <w:tbl>
      <w:tblPr>
        <w:tblStyle w:val="Table"/>
        <w:tblW w:type="pct" w:w="5000"/>
        <w:tblLayout w:type="fixed"/>
        <w:tblLook w:firstRow="0" w:lastRow="0" w:firstColumn="0" w:lastColumn="0" w:noHBand="0" w:noVBand="0" w:val="0000"/>
      </w:tblPr>
      <w:tblGrid>
        <w:gridCol w:w="7920"/>
      </w:tblGrid>
      <w:tr>
        <w:tc>
          <w:tcPr/>
          <w:bookmarkStart w:id="20" w:name="tbl-group-summary"/>
          <w:p>
            <w:pPr>
              <w:jc w:val="center"/>
            </w:pPr>
            <w:pPr>
              <w:jc w:val="left"/>
              <w:spacing w:before="200"/>
              <w:pStyle w:val="ImageCaption"/>
            </w:pPr>
            <w:r>
              <w:t xml:space="preserve">Table 1: Sample sizes and descriptive body-size statistics for females and the three male developmental groups.</w:t>
            </w:r>
          </w:p>
          <w:tbl>
            <w:tblPr>
              <w:tblStyle w:val="Table"/>
              <w:tblW w:type="pct" w:w="5000"/>
              <w:tblLayout w:type="fixed"/>
              <w:tblLook w:firstRow="1" w:lastRow="0" w:firstColumn="0" w:lastColumn="0" w:noHBand="0" w:noVBand="0" w:val="0020"/>
            </w:tblPr>
            <w:tblGrid>
              <w:gridCol w:w="701"/>
              <w:gridCol w:w="1203"/>
              <w:gridCol w:w="1403"/>
              <w:gridCol w:w="1203"/>
              <w:gridCol w:w="1704"/>
              <w:gridCol w:w="1704"/>
            </w:tblGrid>
            <w:tr>
              <w:trPr>
                <w:tblHeader w:val="on"/>
              </w:trPr>
              <w:tc>
                <w:tcPr/>
                <w:p>
                  <w:pPr>
                    <w:pStyle w:val="Compact"/>
                    <w:jc w:val="left"/>
                    <w:jc w:val="center"/>
                  </w:pPr>
                  <w:r>
                    <w:t xml:space="preserve">Group</w:t>
                  </w:r>
                </w:p>
              </w:tc>
              <w:tc>
                <w:tcPr/>
                <w:p>
                  <w:pPr>
                    <w:pStyle w:val="Compact"/>
                    <w:jc w:val="right"/>
                    <w:jc w:val="center"/>
                  </w:pPr>
                  <w:r>
                    <w:t xml:space="preserve">Sample size</w:t>
                  </w:r>
                </w:p>
              </w:tc>
              <w:tc>
                <w:tcPr/>
                <w:p>
                  <w:pPr>
                    <w:pStyle w:val="Compact"/>
                    <w:jc w:val="right"/>
                    <w:jc w:val="center"/>
                  </w:pPr>
                  <w:r>
                    <w:t xml:space="preserve">Pronotum mean</w:t>
                  </w:r>
                </w:p>
              </w:tc>
              <w:tc>
                <w:tcPr/>
                <w:p>
                  <w:pPr>
                    <w:pStyle w:val="Compact"/>
                    <w:jc w:val="right"/>
                    <w:jc w:val="center"/>
                  </w:pPr>
                  <w:r>
                    <w:t xml:space="preserve">Pronotum SD</w:t>
                  </w:r>
                </w:p>
              </w:tc>
              <w:tc>
                <w:tcPr/>
                <w:p>
                  <w:pPr>
                    <w:pStyle w:val="Compact"/>
                    <w:jc w:val="right"/>
                    <w:jc w:val="center"/>
                  </w:pPr>
                  <w:r>
                    <w:t xml:space="preserve">Pronotum minimum</w:t>
                  </w:r>
                </w:p>
              </w:tc>
              <w:tc>
                <w:tcPr/>
                <w:p>
                  <w:pPr>
                    <w:pStyle w:val="Compact"/>
                    <w:jc w:val="right"/>
                    <w:jc w:val="center"/>
                  </w:pPr>
                  <w:r>
                    <w:t xml:space="preserve">Pronotum maximum</w:t>
                  </w:r>
                </w:p>
              </w:tc>
            </w:tr>
            <w:tr>
              <w:tc>
                <w:tcPr/>
                <w:p>
                  <w:pPr>
                    <w:pStyle w:val="Compact"/>
                    <w:jc w:val="left"/>
                    <w:jc w:val="center"/>
                  </w:pPr>
                  <w:r>
                    <w:t xml:space="preserve">Female</w:t>
                  </w:r>
                </w:p>
              </w:tc>
              <w:tc>
                <w:tcPr/>
                <w:p>
                  <w:pPr>
                    <w:pStyle w:val="Compact"/>
                    <w:jc w:val="right"/>
                    <w:jc w:val="center"/>
                  </w:pPr>
                  <w:r>
                    <w:t xml:space="preserve">118</w:t>
                  </w:r>
                </w:p>
              </w:tc>
              <w:tc>
                <w:tcPr/>
                <w:p>
                  <w:pPr>
                    <w:pStyle w:val="Compact"/>
                    <w:jc w:val="right"/>
                    <w:jc w:val="center"/>
                  </w:pPr>
                  <w:r>
                    <w:t xml:space="preserve">7.81</w:t>
                  </w:r>
                </w:p>
              </w:tc>
              <w:tc>
                <w:tcPr/>
                <w:p>
                  <w:pPr>
                    <w:pStyle w:val="Compact"/>
                    <w:jc w:val="right"/>
                    <w:jc w:val="center"/>
                  </w:pPr>
                  <w:r>
                    <w:t xml:space="preserve">0.41</w:t>
                  </w:r>
                </w:p>
              </w:tc>
              <w:tc>
                <w:tcPr/>
                <w:p>
                  <w:pPr>
                    <w:pStyle w:val="Compact"/>
                    <w:jc w:val="right"/>
                    <w:jc w:val="center"/>
                  </w:pPr>
                  <w:r>
                    <w:t xml:space="preserve">6.86</w:t>
                  </w:r>
                </w:p>
              </w:tc>
              <w:tc>
                <w:tcPr/>
                <w:p>
                  <w:pPr>
                    <w:pStyle w:val="Compact"/>
                    <w:jc w:val="right"/>
                    <w:jc w:val="center"/>
                  </w:pPr>
                  <w:r>
                    <w:t xml:space="preserve">8.60</w:t>
                  </w:r>
                </w:p>
              </w:tc>
            </w:tr>
            <w:tr>
              <w:tc>
                <w:tcPr/>
                <w:p>
                  <w:pPr>
                    <w:pStyle w:val="Compact"/>
                    <w:jc w:val="left"/>
                    <w:jc w:val="center"/>
                  </w:pPr>
                  <w:r>
                    <w:t xml:space="preserve">Eighth</w:t>
                  </w:r>
                </w:p>
              </w:tc>
              <w:tc>
                <w:tcPr/>
                <w:p>
                  <w:pPr>
                    <w:pStyle w:val="Compact"/>
                    <w:jc w:val="right"/>
                    <w:jc w:val="center"/>
                  </w:pPr>
                  <w:r>
                    <w:t xml:space="preserve">78</w:t>
                  </w:r>
                </w:p>
              </w:tc>
              <w:tc>
                <w:tcPr/>
                <w:p>
                  <w:pPr>
                    <w:pStyle w:val="Compact"/>
                    <w:jc w:val="right"/>
                    <w:jc w:val="center"/>
                  </w:pPr>
                  <w:r>
                    <w:t xml:space="preserve">6.37</w:t>
                  </w:r>
                </w:p>
              </w:tc>
              <w:tc>
                <w:tcPr/>
                <w:p>
                  <w:pPr>
                    <w:pStyle w:val="Compact"/>
                    <w:jc w:val="right"/>
                    <w:jc w:val="center"/>
                  </w:pPr>
                  <w:r>
                    <w:t xml:space="preserve">0.37</w:t>
                  </w:r>
                </w:p>
              </w:tc>
              <w:tc>
                <w:tcPr/>
                <w:p>
                  <w:pPr>
                    <w:pStyle w:val="Compact"/>
                    <w:jc w:val="right"/>
                    <w:jc w:val="center"/>
                  </w:pPr>
                  <w:r>
                    <w:t xml:space="preserve">5.71</w:t>
                  </w:r>
                </w:p>
              </w:tc>
              <w:tc>
                <w:tcPr/>
                <w:p>
                  <w:pPr>
                    <w:pStyle w:val="Compact"/>
                    <w:jc w:val="right"/>
                    <w:jc w:val="center"/>
                  </w:pPr>
                  <w:r>
                    <w:t xml:space="preserve">7.49</w:t>
                  </w:r>
                </w:p>
              </w:tc>
            </w:tr>
            <w:tr>
              <w:tc>
                <w:tcPr/>
                <w:p>
                  <w:pPr>
                    <w:pStyle w:val="Compact"/>
                    <w:jc w:val="left"/>
                    <w:jc w:val="center"/>
                  </w:pPr>
                  <w:r>
                    <w:t xml:space="preserve">Ninth</w:t>
                  </w:r>
                </w:p>
              </w:tc>
              <w:tc>
                <w:tcPr/>
                <w:p>
                  <w:pPr>
                    <w:pStyle w:val="Compact"/>
                    <w:jc w:val="right"/>
                    <w:jc w:val="center"/>
                  </w:pPr>
                  <w:r>
                    <w:t xml:space="preserve">79</w:t>
                  </w:r>
                </w:p>
              </w:tc>
              <w:tc>
                <w:tcPr/>
                <w:p>
                  <w:pPr>
                    <w:pStyle w:val="Compact"/>
                    <w:jc w:val="right"/>
                    <w:jc w:val="center"/>
                  </w:pPr>
                  <w:r>
                    <w:t xml:space="preserve">6.93</w:t>
                  </w:r>
                </w:p>
              </w:tc>
              <w:tc>
                <w:tcPr/>
                <w:p>
                  <w:pPr>
                    <w:pStyle w:val="Compact"/>
                    <w:jc w:val="right"/>
                    <w:jc w:val="center"/>
                  </w:pPr>
                  <w:r>
                    <w:t xml:space="preserve">0.32</w:t>
                  </w:r>
                </w:p>
              </w:tc>
              <w:tc>
                <w:tcPr/>
                <w:p>
                  <w:pPr>
                    <w:pStyle w:val="Compact"/>
                    <w:jc w:val="right"/>
                    <w:jc w:val="center"/>
                  </w:pPr>
                  <w:r>
                    <w:t xml:space="preserve">6.20</w:t>
                  </w:r>
                </w:p>
              </w:tc>
              <w:tc>
                <w:tcPr/>
                <w:p>
                  <w:pPr>
                    <w:pStyle w:val="Compact"/>
                    <w:jc w:val="right"/>
                    <w:jc w:val="center"/>
                  </w:pPr>
                  <w:r>
                    <w:t xml:space="preserve">7.73</w:t>
                  </w:r>
                </w:p>
              </w:tc>
            </w:tr>
            <w:tr>
              <w:tc>
                <w:tcPr/>
                <w:p>
                  <w:pPr>
                    <w:pStyle w:val="Compact"/>
                    <w:jc w:val="left"/>
                    <w:jc w:val="center"/>
                  </w:pPr>
                  <w:r>
                    <w:t xml:space="preserve">Tenth</w:t>
                  </w:r>
                </w:p>
              </w:tc>
              <w:tc>
                <w:tcPr/>
                <w:p>
                  <w:pPr>
                    <w:pStyle w:val="Compact"/>
                    <w:jc w:val="right"/>
                    <w:jc w:val="center"/>
                  </w:pPr>
                  <w:r>
                    <w:t xml:space="preserve">38</w:t>
                  </w:r>
                </w:p>
              </w:tc>
              <w:tc>
                <w:tcPr/>
                <w:p>
                  <w:pPr>
                    <w:pStyle w:val="Compact"/>
                    <w:jc w:val="right"/>
                    <w:jc w:val="center"/>
                  </w:pPr>
                  <w:r>
                    <w:t xml:space="preserve">7.52</w:t>
                  </w:r>
                </w:p>
              </w:tc>
              <w:tc>
                <w:tcPr/>
                <w:p>
                  <w:pPr>
                    <w:pStyle w:val="Compact"/>
                    <w:jc w:val="right"/>
                    <w:jc w:val="center"/>
                  </w:pPr>
                  <w:r>
                    <w:t xml:space="preserve">0.31</w:t>
                  </w:r>
                </w:p>
              </w:tc>
              <w:tc>
                <w:tcPr/>
                <w:p>
                  <w:pPr>
                    <w:pStyle w:val="Compact"/>
                    <w:jc w:val="right"/>
                    <w:jc w:val="center"/>
                  </w:pPr>
                  <w:r>
                    <w:t xml:space="preserve">6.99</w:t>
                  </w:r>
                </w:p>
              </w:tc>
              <w:tc>
                <w:tcPr/>
                <w:p>
                  <w:pPr>
                    <w:pStyle w:val="Compact"/>
                    <w:jc w:val="right"/>
                    <w:jc w:val="center"/>
                  </w:pPr>
                  <w:r>
                    <w:t xml:space="preserve">8.31</w:t>
                  </w:r>
                </w:p>
              </w:tc>
            </w:tr>
          </w:tbl>
          <w:bookmarkEnd w:id="20"/>
          <w:p/>
        </w:tc>
      </w:tr>
    </w:tbl>
    <w:bookmarkEnd w:id="21"/>
    <w:bookmarkStart w:id="36" w:name="locomotory-morphology"/>
    <w:p>
      <w:pPr>
        <w:pStyle w:val="Heading2"/>
      </w:pPr>
      <w:r>
        <w:t xml:space="preserve">1.2 Locomotory morphology</w:t>
      </w:r>
    </w:p>
    <w:bookmarkStart w:id="27" w:name="relative-allocation-among-leg-pairs"/>
    <w:p>
      <w:pPr>
        <w:pStyle w:val="Heading3"/>
      </w:pPr>
      <w:r>
        <w:t xml:space="preserve">1.2.1 Relative allocation among leg pairs</w:t>
      </w:r>
    </w:p>
    <w:p>
      <w:pPr>
        <w:pStyle w:val="FirstParagraph"/>
      </w:pPr>
      <w:r>
        <w:t xml:space="preserve">The joint repeated-trait model showed that group differences depended strongly on leg identity (F(6, 622.86) = 100.35, p &lt; 0.001). Thus, the male developmental groups were not uniformly longer- or shorter-legged than females; instead, the magnitude and direction of group differences varied among forelegs, midlegs, and hindlegs. There was also evidence that group-specific allometric slopes depended on leg identity (F(6, 622.72) = 2.18, p = 0.044), although this three-way effect was much weaker than the group-by-leg interaction. The body-size-by-group interaction was also supported within the joint model (F(3, 312.31) = 3.62, p = 0.013).</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increased progressively across the male developmental groups, midleg enlargement was concentrated in the ninth- and tenth-instar groups, and hindleg morphology followed a different trajectory.</w:t>
      </w:r>
    </w:p>
    <w:tbl>
      <w:tblPr>
        <w:tblStyle w:val="Table"/>
        <w:tblW w:type="pct" w:w="5000"/>
        <w:tblLayout w:type="fixed"/>
        <w:tblLook w:firstRow="0" w:lastRow="0" w:firstColumn="0" w:lastColumn="0" w:noHBand="0" w:noVBand="0" w:val="0000"/>
      </w:tblPr>
      <w:tblGrid>
        <w:gridCol w:w="7920"/>
      </w:tblGrid>
      <w:tr>
        <w:tc>
          <w:tcPr/>
          <w:bookmarkStart w:id="25" w:name="fig-adjusted-legs"/>
          <w:p>
            <w:pPr>
              <w:pStyle w:val="Compact"/>
              <w:jc w:val="center"/>
            </w:pPr>
            <w:r>
              <w:drawing>
                <wp:inline>
                  <wp:extent cx="5969000" cy="3316111"/>
                  <wp:effectExtent b="0" l="0" r="0" t="0"/>
                  <wp:docPr descr="" title="" id="23" name="Picture"/>
                  <a:graphic>
                    <a:graphicData uri="http://schemas.openxmlformats.org/drawingml/2006/picture">
                      <pic:pic>
                        <pic:nvPicPr>
                          <pic:cNvPr descr="analysis_outputs/weta_trait_analysis/figures/adjusted_leg_means.png" id="24" name="Picture"/>
                          <pic:cNvPicPr>
                            <a:picLocks noChangeArrowheads="1" noChangeAspect="1"/>
                          </pic:cNvPicPr>
                        </pic:nvPicPr>
                        <pic:blipFill>
                          <a:blip r:embed="rId22"/>
                          <a:stretch>
                            <a:fillRect/>
                          </a:stretch>
                        </pic:blipFill>
                        <pic:spPr bwMode="auto">
                          <a:xfrm>
                            <a:off x="0" y="0"/>
                            <a:ext cx="5969000" cy="33161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Size-adjusted predicted foreleg, midleg, and hindleg lengths for females and the three male developmental groups at a pronotum length of 7.2 mm. Error bars are 95% confidence intervals.</w:t>
            </w:r>
          </w:p>
          <w:bookmarkEnd w:id="25"/>
        </w:tc>
      </w:tr>
    </w:tbl>
    <w:tbl>
      <w:tblPr>
        <w:tblStyle w:val="Table"/>
        <w:tblW w:type="pct" w:w="5000"/>
        <w:tblLayout w:type="fixed"/>
        <w:tblLook w:firstRow="0" w:lastRow="0" w:firstColumn="0" w:lastColumn="0" w:noHBand="0" w:noVBand="0" w:val="0000"/>
      </w:tblPr>
      <w:tblGrid>
        <w:gridCol w:w="7920"/>
      </w:tblGrid>
      <w:tr>
        <w:tc>
          <w:tcPr/>
          <w:bookmarkStart w:id="26" w:name="tbl-leg-contrasts"/>
          <w:p>
            <w:pPr>
              <w:jc w:val="center"/>
            </w:pPr>
            <w:pPr>
              <w:jc w:val="left"/>
              <w:spacing w:before="200"/>
              <w:pStyle w:val="ImageCaption"/>
            </w:pPr>
            <w:r>
              <w:t xml:space="preserve">Table 2: Male–female contrasts in predicted leg length at a pronotum length of 7.2 mm. Percent differences are expressed relative to females; positive values indicate longer legs in males. P-values are Holm-adjusted within leg pair.</w:t>
            </w:r>
          </w:p>
          <w:tbl>
            <w:tblPr>
              <w:tblStyle w:val="Table"/>
              <w:tblW w:type="pct" w:w="5000"/>
              <w:tblLayout w:type="fixed"/>
              <w:tblLook w:firstRow="1" w:lastRow="0" w:firstColumn="0" w:lastColumn="0" w:noHBand="0" w:noVBand="0" w:val="0020"/>
            </w:tblPr>
            <w:tblGrid>
              <w:gridCol w:w="688"/>
              <w:gridCol w:w="1377"/>
              <w:gridCol w:w="1635"/>
              <w:gridCol w:w="1635"/>
              <w:gridCol w:w="1635"/>
              <w:gridCol w:w="946"/>
            </w:tblGrid>
            <w:tr>
              <w:trPr>
                <w:tblHeader w:val="on"/>
              </w:trPr>
              <w:tc>
                <w:tcPr/>
                <w:p>
                  <w:pPr>
                    <w:pStyle w:val="Compact"/>
                    <w:jc w:val="left"/>
                    <w:jc w:val="center"/>
                  </w:pPr>
                  <w:r>
                    <w:t xml:space="preserve">Leg</w:t>
                  </w:r>
                </w:p>
              </w:tc>
              <w:tc>
                <w:tcPr/>
                <w:p>
                  <w:pPr>
                    <w:pStyle w:val="Compact"/>
                    <w:jc w:val="left"/>
                    <w:jc w:val="center"/>
                  </w:pPr>
                  <w:r>
                    <w:t xml:space="preserve">Contrast</w:t>
                  </w:r>
                </w:p>
              </w:tc>
              <w:tc>
                <w:tcPr/>
                <w:p>
                  <w:pPr>
                    <w:pStyle w:val="Compact"/>
                    <w:jc w:val="right"/>
                    <w:jc w:val="center"/>
                  </w:pPr>
                  <w:r>
                    <w:t xml:space="preserve">Percent difference</w:t>
                  </w:r>
                </w:p>
              </w:tc>
              <w:tc>
                <w:tcPr/>
                <w:p>
                  <w:pPr>
                    <w:pStyle w:val="Compact"/>
                    <w:jc w:val="right"/>
                    <w:jc w:val="center"/>
                  </w:pPr>
                  <w:r>
                    <w:t xml:space="preserve">Ratio lower 95% CI</w:t>
                  </w:r>
                </w:p>
              </w:tc>
              <w:tc>
                <w:tcPr/>
                <w:p>
                  <w:pPr>
                    <w:pStyle w:val="Compact"/>
                    <w:jc w:val="right"/>
                    <w:jc w:val="center"/>
                  </w:pPr>
                  <w:r>
                    <w:t xml:space="preserve">Ratio upper 95% CI</w:t>
                  </w:r>
                </w:p>
              </w:tc>
              <w:tc>
                <w:tcPr/>
                <w:p>
                  <w:pPr>
                    <w:pStyle w:val="Compact"/>
                    <w:jc w:val="right"/>
                    <w:jc w:val="center"/>
                  </w:pPr>
                  <w:r>
                    <w:t xml:space="preserve">Adjusted p</w:t>
                  </w:r>
                </w:p>
              </w:tc>
            </w:tr>
            <w:tr>
              <w:tc>
                <w:tcPr/>
                <w:p>
                  <w:pPr>
                    <w:pStyle w:val="Compact"/>
                    <w:jc w:val="left"/>
                    <w:jc w:val="center"/>
                  </w:pPr>
                  <w:r>
                    <w:t xml:space="preserve">Foreleg</w:t>
                  </w:r>
                </w:p>
              </w:tc>
              <w:tc>
                <w:tcPr/>
                <w:p>
                  <w:pPr>
                    <w:pStyle w:val="Compact"/>
                    <w:jc w:val="left"/>
                    <w:jc w:val="center"/>
                  </w:pPr>
                  <w:r>
                    <w:t xml:space="preserve">eighth - female</w:t>
                  </w:r>
                </w:p>
              </w:tc>
              <w:tc>
                <w:tcPr/>
                <w:p>
                  <w:pPr>
                    <w:pStyle w:val="Compact"/>
                    <w:jc w:val="right"/>
                    <w:jc w:val="center"/>
                  </w:pPr>
                  <w:r>
                    <w:t xml:space="preserve">5.8</w:t>
                  </w:r>
                </w:p>
              </w:tc>
              <w:tc>
                <w:tcPr/>
                <w:p>
                  <w:pPr>
                    <w:pStyle w:val="Compact"/>
                    <w:jc w:val="right"/>
                    <w:jc w:val="center"/>
                  </w:pPr>
                  <w:r>
                    <w:t xml:space="preserve">1.031</w:t>
                  </w:r>
                </w:p>
              </w:tc>
              <w:tc>
                <w:tcPr/>
                <w:p>
                  <w:pPr>
                    <w:pStyle w:val="Compact"/>
                    <w:jc w:val="right"/>
                    <w:jc w:val="center"/>
                  </w:pPr>
                  <w:r>
                    <w:t xml:space="preserve">1.087</w:t>
                  </w:r>
                </w:p>
              </w:tc>
              <w:tc>
                <w:tcPr/>
                <w:p>
                  <w:pPr>
                    <w:pStyle w:val="Compact"/>
                    <w:jc w:val="right"/>
                    <w:jc w:val="center"/>
                  </w:pPr>
                  <w:r>
                    <w:t xml:space="preserve">&lt;0.001</w:t>
                  </w:r>
                </w:p>
              </w:tc>
            </w:tr>
            <w:tr>
              <w:tc>
                <w:tcPr/>
                <w:p>
                  <w:pPr>
                    <w:pStyle w:val="Compact"/>
                    <w:jc w:val="left"/>
                    <w:jc w:val="center"/>
                  </w:pPr>
                  <w:r>
                    <w:t xml:space="preserve">Foreleg</w:t>
                  </w:r>
                </w:p>
              </w:tc>
              <w:tc>
                <w:tcPr/>
                <w:p>
                  <w:pPr>
                    <w:pStyle w:val="Compact"/>
                    <w:jc w:val="left"/>
                    <w:jc w:val="center"/>
                  </w:pPr>
                  <w:r>
                    <w:t xml:space="preserve">ninth - female</w:t>
                  </w:r>
                </w:p>
              </w:tc>
              <w:tc>
                <w:tcPr/>
                <w:p>
                  <w:pPr>
                    <w:pStyle w:val="Compact"/>
                    <w:jc w:val="right"/>
                    <w:jc w:val="center"/>
                  </w:pPr>
                  <w:r>
                    <w:t xml:space="preserve">11.4</w:t>
                  </w:r>
                </w:p>
              </w:tc>
              <w:tc>
                <w:tcPr/>
                <w:p>
                  <w:pPr>
                    <w:pStyle w:val="Compact"/>
                    <w:jc w:val="right"/>
                    <w:jc w:val="center"/>
                  </w:pPr>
                  <w:r>
                    <w:t xml:space="preserve">1.093</w:t>
                  </w:r>
                </w:p>
              </w:tc>
              <w:tc>
                <w:tcPr/>
                <w:p>
                  <w:pPr>
                    <w:pStyle w:val="Compact"/>
                    <w:jc w:val="right"/>
                    <w:jc w:val="center"/>
                  </w:pPr>
                  <w:r>
                    <w:t xml:space="preserve">1.134</w:t>
                  </w:r>
                </w:p>
              </w:tc>
              <w:tc>
                <w:tcPr/>
                <w:p>
                  <w:pPr>
                    <w:pStyle w:val="Compact"/>
                    <w:jc w:val="right"/>
                    <w:jc w:val="center"/>
                  </w:pPr>
                  <w:r>
                    <w:t xml:space="preserve">&lt;0.001</w:t>
                  </w:r>
                </w:p>
              </w:tc>
            </w:tr>
            <w:tr>
              <w:tc>
                <w:tcPr/>
                <w:p>
                  <w:pPr>
                    <w:pStyle w:val="Compact"/>
                    <w:jc w:val="left"/>
                    <w:jc w:val="center"/>
                  </w:pPr>
                  <w:r>
                    <w:t xml:space="preserve">Foreleg</w:t>
                  </w:r>
                </w:p>
              </w:tc>
              <w:tc>
                <w:tcPr/>
                <w:p>
                  <w:pPr>
                    <w:pStyle w:val="Compact"/>
                    <w:jc w:val="left"/>
                    <w:jc w:val="center"/>
                  </w:pPr>
                  <w:r>
                    <w:t xml:space="preserve">tenth - female</w:t>
                  </w:r>
                </w:p>
              </w:tc>
              <w:tc>
                <w:tcPr/>
                <w:p>
                  <w:pPr>
                    <w:pStyle w:val="Compact"/>
                    <w:jc w:val="right"/>
                    <w:jc w:val="center"/>
                  </w:pPr>
                  <w:r>
                    <w:t xml:space="preserve">16.9</w:t>
                  </w:r>
                </w:p>
              </w:tc>
              <w:tc>
                <w:tcPr/>
                <w:p>
                  <w:pPr>
                    <w:pStyle w:val="Compact"/>
                    <w:jc w:val="right"/>
                    <w:jc w:val="center"/>
                  </w:pPr>
                  <w:r>
                    <w:t xml:space="preserve">1.141</w:t>
                  </w:r>
                </w:p>
              </w:tc>
              <w:tc>
                <w:tcPr/>
                <w:p>
                  <w:pPr>
                    <w:pStyle w:val="Compact"/>
                    <w:jc w:val="right"/>
                    <w:jc w:val="center"/>
                  </w:pPr>
                  <w:r>
                    <w:t xml:space="preserve">1.198</w:t>
                  </w:r>
                </w:p>
              </w:tc>
              <w:tc>
                <w:tcPr/>
                <w:p>
                  <w:pPr>
                    <w:pStyle w:val="Compact"/>
                    <w:jc w:val="right"/>
                    <w:jc w:val="center"/>
                  </w:pPr>
                  <w:r>
                    <w:t xml:space="preserve">&lt;0.001</w:t>
                  </w:r>
                </w:p>
              </w:tc>
            </w:tr>
            <w:tr>
              <w:tc>
                <w:tcPr/>
                <w:p>
                  <w:pPr>
                    <w:pStyle w:val="Compact"/>
                    <w:jc w:val="left"/>
                    <w:jc w:val="center"/>
                  </w:pPr>
                  <w:r>
                    <w:t xml:space="preserve">Midleg</w:t>
                  </w:r>
                </w:p>
              </w:tc>
              <w:tc>
                <w:tcPr/>
                <w:p>
                  <w:pPr>
                    <w:pStyle w:val="Compact"/>
                    <w:jc w:val="left"/>
                    <w:jc w:val="center"/>
                  </w:pPr>
                  <w:r>
                    <w:t xml:space="preserve">eighth - female</w:t>
                  </w:r>
                </w:p>
              </w:tc>
              <w:tc>
                <w:tcPr/>
                <w:p>
                  <w:pPr>
                    <w:pStyle w:val="Compact"/>
                    <w:jc w:val="right"/>
                    <w:jc w:val="center"/>
                  </w:pPr>
                  <w:r>
                    <w:t xml:space="preserve">2.1</w:t>
                  </w:r>
                </w:p>
              </w:tc>
              <w:tc>
                <w:tcPr/>
                <w:p>
                  <w:pPr>
                    <w:pStyle w:val="Compact"/>
                    <w:jc w:val="right"/>
                    <w:jc w:val="center"/>
                  </w:pPr>
                  <w:r>
                    <w:t xml:space="preserve">0.995</w:t>
                  </w:r>
                </w:p>
              </w:tc>
              <w:tc>
                <w:tcPr/>
                <w:p>
                  <w:pPr>
                    <w:pStyle w:val="Compact"/>
                    <w:jc w:val="right"/>
                    <w:jc w:val="center"/>
                  </w:pPr>
                  <w:r>
                    <w:t xml:space="preserve">1.049</w:t>
                  </w:r>
                </w:p>
              </w:tc>
              <w:tc>
                <w:tcPr/>
                <w:p>
                  <w:pPr>
                    <w:pStyle w:val="Compact"/>
                    <w:jc w:val="right"/>
                    <w:jc w:val="center"/>
                  </w:pPr>
                  <w:r>
                    <w:t xml:space="preserve">0.057</w:t>
                  </w:r>
                </w:p>
              </w:tc>
            </w:tr>
            <w:tr>
              <w:tc>
                <w:tcPr/>
                <w:p>
                  <w:pPr>
                    <w:pStyle w:val="Compact"/>
                    <w:jc w:val="left"/>
                    <w:jc w:val="center"/>
                  </w:pPr>
                  <w:r>
                    <w:t xml:space="preserve">Midleg</w:t>
                  </w:r>
                </w:p>
              </w:tc>
              <w:tc>
                <w:tcPr/>
                <w:p>
                  <w:pPr>
                    <w:pStyle w:val="Compact"/>
                    <w:jc w:val="left"/>
                    <w:jc w:val="center"/>
                  </w:pPr>
                  <w:r>
                    <w:t xml:space="preserve">ninth - female</w:t>
                  </w:r>
                </w:p>
              </w:tc>
              <w:tc>
                <w:tcPr/>
                <w:p>
                  <w:pPr>
                    <w:pStyle w:val="Compact"/>
                    <w:jc w:val="right"/>
                    <w:jc w:val="center"/>
                  </w:pPr>
                  <w:r>
                    <w:t xml:space="preserve">7.5</w:t>
                  </w:r>
                </w:p>
              </w:tc>
              <w:tc>
                <w:tcPr/>
                <w:p>
                  <w:pPr>
                    <w:pStyle w:val="Compact"/>
                    <w:jc w:val="right"/>
                    <w:jc w:val="center"/>
                  </w:pPr>
                  <w:r>
                    <w:t xml:space="preserve">1.056</w:t>
                  </w:r>
                </w:p>
              </w:tc>
              <w:tc>
                <w:tcPr/>
                <w:p>
                  <w:pPr>
                    <w:pStyle w:val="Compact"/>
                    <w:jc w:val="right"/>
                    <w:jc w:val="center"/>
                  </w:pPr>
                  <w:r>
                    <w:t xml:space="preserve">1.095</w:t>
                  </w:r>
                </w:p>
              </w:tc>
              <w:tc>
                <w:tcPr/>
                <w:p>
                  <w:pPr>
                    <w:pStyle w:val="Compact"/>
                    <w:jc w:val="right"/>
                    <w:jc w:val="center"/>
                  </w:pPr>
                  <w:r>
                    <w:t xml:space="preserve">&lt;0.001</w:t>
                  </w:r>
                </w:p>
              </w:tc>
            </w:tr>
            <w:tr>
              <w:tc>
                <w:tcPr/>
                <w:p>
                  <w:pPr>
                    <w:pStyle w:val="Compact"/>
                    <w:jc w:val="left"/>
                    <w:jc w:val="center"/>
                  </w:pPr>
                  <w:r>
                    <w:t xml:space="preserve">Midleg</w:t>
                  </w:r>
                </w:p>
              </w:tc>
              <w:tc>
                <w:tcPr/>
                <w:p>
                  <w:pPr>
                    <w:pStyle w:val="Compact"/>
                    <w:jc w:val="left"/>
                    <w:jc w:val="center"/>
                  </w:pPr>
                  <w:r>
                    <w:t xml:space="preserve">tenth - female</w:t>
                  </w:r>
                </w:p>
              </w:tc>
              <w:tc>
                <w:tcPr/>
                <w:p>
                  <w:pPr>
                    <w:pStyle w:val="Compact"/>
                    <w:jc w:val="right"/>
                    <w:jc w:val="center"/>
                  </w:pPr>
                  <w:r>
                    <w:t xml:space="preserve">12.2</w:t>
                  </w:r>
                </w:p>
              </w:tc>
              <w:tc>
                <w:tcPr/>
                <w:p>
                  <w:pPr>
                    <w:pStyle w:val="Compact"/>
                    <w:jc w:val="right"/>
                    <w:jc w:val="center"/>
                  </w:pPr>
                  <w:r>
                    <w:t xml:space="preserve">1.095</w:t>
                  </w:r>
                </w:p>
              </w:tc>
              <w:tc>
                <w:tcPr/>
                <w:p>
                  <w:pPr>
                    <w:pStyle w:val="Compact"/>
                    <w:jc w:val="right"/>
                    <w:jc w:val="center"/>
                  </w:pPr>
                  <w:r>
                    <w:t xml:space="preserve">1.149</w:t>
                  </w:r>
                </w:p>
              </w:tc>
              <w:tc>
                <w:tcPr/>
                <w:p>
                  <w:pPr>
                    <w:pStyle w:val="Compact"/>
                    <w:jc w:val="right"/>
                    <w:jc w:val="center"/>
                  </w:pPr>
                  <w:r>
                    <w:t xml:space="preserve">&lt;0.001</w:t>
                  </w:r>
                </w:p>
              </w:tc>
            </w:tr>
            <w:tr>
              <w:tc>
                <w:tcPr/>
                <w:p>
                  <w:pPr>
                    <w:pStyle w:val="Compact"/>
                    <w:jc w:val="left"/>
                    <w:jc w:val="center"/>
                  </w:pPr>
                  <w:r>
                    <w:t xml:space="preserve">Hindleg</w:t>
                  </w:r>
                </w:p>
              </w:tc>
              <w:tc>
                <w:tcPr/>
                <w:p>
                  <w:pPr>
                    <w:pStyle w:val="Compact"/>
                    <w:jc w:val="left"/>
                    <w:jc w:val="center"/>
                  </w:pPr>
                  <w:r>
                    <w:t xml:space="preserve">eighth - female</w:t>
                  </w:r>
                </w:p>
              </w:tc>
              <w:tc>
                <w:tcPr/>
                <w:p>
                  <w:pPr>
                    <w:pStyle w:val="Compact"/>
                    <w:jc w:val="right"/>
                    <w:jc w:val="center"/>
                  </w:pPr>
                  <w:r>
                    <w:t xml:space="preserve">-6.3</w:t>
                  </w:r>
                </w:p>
              </w:tc>
              <w:tc>
                <w:tcPr/>
                <w:p>
                  <w:pPr>
                    <w:pStyle w:val="Compact"/>
                    <w:jc w:val="right"/>
                    <w:jc w:val="center"/>
                  </w:pPr>
                  <w:r>
                    <w:t xml:space="preserve">0.912</w:t>
                  </w:r>
                </w:p>
              </w:tc>
              <w:tc>
                <w:tcPr/>
                <w:p>
                  <w:pPr>
                    <w:pStyle w:val="Compact"/>
                    <w:jc w:val="right"/>
                    <w:jc w:val="center"/>
                  </w:pPr>
                  <w:r>
                    <w:t xml:space="preserve">0.962</w:t>
                  </w:r>
                </w:p>
              </w:tc>
              <w:tc>
                <w:tcPr/>
                <w:p>
                  <w:pPr>
                    <w:pStyle w:val="Compact"/>
                    <w:jc w:val="right"/>
                    <w:jc w:val="center"/>
                  </w:pPr>
                  <w:r>
                    <w:t xml:space="preserve">&lt;0.001</w:t>
                  </w:r>
                </w:p>
              </w:tc>
            </w:tr>
            <w:tr>
              <w:tc>
                <w:tcPr/>
                <w:p>
                  <w:pPr>
                    <w:pStyle w:val="Compact"/>
                    <w:jc w:val="left"/>
                    <w:jc w:val="center"/>
                  </w:pPr>
                  <w:r>
                    <w:t xml:space="preserve">Hindleg</w:t>
                  </w:r>
                </w:p>
              </w:tc>
              <w:tc>
                <w:tcPr/>
                <w:p>
                  <w:pPr>
                    <w:pStyle w:val="Compact"/>
                    <w:jc w:val="left"/>
                    <w:jc w:val="center"/>
                  </w:pPr>
                  <w:r>
                    <w:t xml:space="preserve">ninth - female</w:t>
                  </w:r>
                </w:p>
              </w:tc>
              <w:tc>
                <w:tcPr/>
                <w:p>
                  <w:pPr>
                    <w:pStyle w:val="Compact"/>
                    <w:jc w:val="right"/>
                    <w:jc w:val="center"/>
                  </w:pPr>
                  <w:r>
                    <w:t xml:space="preserve">-0.5</w:t>
                  </w:r>
                </w:p>
              </w:tc>
              <w:tc>
                <w:tcPr/>
                <w:p>
                  <w:pPr>
                    <w:pStyle w:val="Compact"/>
                    <w:jc w:val="right"/>
                    <w:jc w:val="center"/>
                  </w:pPr>
                  <w:r>
                    <w:t xml:space="preserve">0.977</w:t>
                  </w:r>
                </w:p>
              </w:tc>
              <w:tc>
                <w:tcPr/>
                <w:p>
                  <w:pPr>
                    <w:pStyle w:val="Compact"/>
                    <w:jc w:val="right"/>
                    <w:jc w:val="center"/>
                  </w:pPr>
                  <w:r>
                    <w:t xml:space="preserve">1.014</w:t>
                  </w:r>
                </w:p>
              </w:tc>
              <w:tc>
                <w:tcPr/>
                <w:p>
                  <w:pPr>
                    <w:pStyle w:val="Compact"/>
                    <w:jc w:val="right"/>
                    <w:jc w:val="center"/>
                  </w:pPr>
                  <w:r>
                    <w:t xml:space="preserve">0.555</w:t>
                  </w:r>
                </w:p>
              </w:tc>
            </w:tr>
            <w:tr>
              <w:tc>
                <w:tcPr/>
                <w:p>
                  <w:pPr>
                    <w:pStyle w:val="Compact"/>
                    <w:jc w:val="left"/>
                    <w:jc w:val="center"/>
                  </w:pPr>
                  <w:r>
                    <w:t xml:space="preserve">Hindleg</w:t>
                  </w:r>
                </w:p>
              </w:tc>
              <w:tc>
                <w:tcPr/>
                <w:p>
                  <w:pPr>
                    <w:pStyle w:val="Compact"/>
                    <w:jc w:val="left"/>
                    <w:jc w:val="center"/>
                  </w:pPr>
                  <w:r>
                    <w:t xml:space="preserve">tenth - female</w:t>
                  </w:r>
                </w:p>
              </w:tc>
              <w:tc>
                <w:tcPr/>
                <w:p>
                  <w:pPr>
                    <w:pStyle w:val="Compact"/>
                    <w:jc w:val="right"/>
                    <w:jc w:val="center"/>
                  </w:pPr>
                  <w:r>
                    <w:t xml:space="preserve">3.9</w:t>
                  </w:r>
                </w:p>
              </w:tc>
              <w:tc>
                <w:tcPr/>
                <w:p>
                  <w:pPr>
                    <w:pStyle w:val="Compact"/>
                    <w:jc w:val="right"/>
                    <w:jc w:val="center"/>
                  </w:pPr>
                  <w:r>
                    <w:t xml:space="preserve">1.014</w:t>
                  </w:r>
                </w:p>
              </w:tc>
              <w:tc>
                <w:tcPr/>
                <w:p>
                  <w:pPr>
                    <w:pStyle w:val="Compact"/>
                    <w:jc w:val="right"/>
                    <w:jc w:val="center"/>
                  </w:pPr>
                  <w:r>
                    <w:t xml:space="preserve">1.065</w:t>
                  </w:r>
                </w:p>
              </w:tc>
              <w:tc>
                <w:tcPr/>
                <w:p>
                  <w:pPr>
                    <w:pStyle w:val="Compact"/>
                    <w:jc w:val="right"/>
                    <w:jc w:val="center"/>
                  </w:pPr>
                  <w:r>
                    <w:t xml:space="preserve">&lt;0.001</w:t>
                  </w:r>
                </w:p>
              </w:tc>
            </w:tr>
          </w:tbl>
          <w:bookmarkEnd w:id="26"/>
          <w:p/>
        </w:tc>
      </w:tr>
    </w:tbl>
    <w:bookmarkEnd w:id="27"/>
    <w:bookmarkStart w:id="33" w:name="allometric-variation"/>
    <w:p>
      <w:pPr>
        <w:pStyle w:val="Heading3"/>
      </w:pPr>
      <w:r>
        <w:t xml:space="preserve">1.2.2 Allometric variation</w:t>
      </w:r>
    </w:p>
    <w:p>
      <w:pPr>
        <w:pStyle w:val="FirstParagraph"/>
      </w:pPr>
      <w:r>
        <w:t xml:space="preserve">Estimated allometric slopes were below one for all group-by-leg combinations, indicating negative allometry of leg length relative to pronotum length. Tenth-instar males had the shallowest estimated slope for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Females and eighth-instar males therefore had nearly parallel foreleg allometries, whereas their hindleg allometries were more divergent. Other corrected slope contrasts were not clearly supported.</w:t>
      </w:r>
    </w:p>
    <w:tbl>
      <w:tblPr>
        <w:tblStyle w:val="Table"/>
        <w:tblW w:type="pct" w:w="5000"/>
        <w:tblLayout w:type="fixed"/>
        <w:tblLook w:firstRow="0" w:lastRow="0" w:firstColumn="0" w:lastColumn="0" w:noHBand="0" w:noVBand="0" w:val="0000"/>
      </w:tblPr>
      <w:tblGrid>
        <w:gridCol w:w="7920"/>
      </w:tblGrid>
      <w:tr>
        <w:tc>
          <w:tcPr/>
          <w:bookmarkStart w:id="28" w:name="tbl-leg-slopes"/>
          <w:p>
            <w:pPr>
              <w:jc w:val="center"/>
            </w:pPr>
            <w:pPr>
              <w:jc w:val="left"/>
              <w:spacing w:before="200"/>
              <w:pStyle w:val="ImageCaption"/>
            </w:pPr>
            <w:r>
              <w:t xml:space="preserve">Table 3: Group- and leg-specific allometric slopes from the joint repeated-trait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Group</w:t>
                  </w:r>
                </w:p>
              </w:tc>
              <w:tc>
                <w:tcPr/>
                <w:p>
                  <w:pPr>
                    <w:pStyle w:val="Compact"/>
                    <w:jc w:val="left"/>
                    <w:jc w:val="center"/>
                  </w:pPr>
                  <w:r>
                    <w:t xml:space="preserve">Leg</w:t>
                  </w:r>
                </w:p>
              </w:tc>
              <w:tc>
                <w:tcPr/>
                <w:p>
                  <w:pPr>
                    <w:pStyle w:val="Compact"/>
                    <w:jc w:val="right"/>
                    <w:jc w:val="center"/>
                  </w:pPr>
                  <w:r>
                    <w:t xml:space="preserve">Slope</w:t>
                  </w:r>
                </w:p>
              </w:tc>
              <w:tc>
                <w:tcPr/>
                <w:p>
                  <w:pPr>
                    <w:pStyle w:val="Compact"/>
                    <w:jc w:val="right"/>
                    <w:jc w:val="center"/>
                  </w:pPr>
                  <w:r>
                    <w:t xml:space="preserve">Lower 95% CI</w:t>
                  </w:r>
                </w:p>
              </w:tc>
              <w:tc>
                <w:tcPr/>
                <w:p>
                  <w:pPr>
                    <w:pStyle w:val="Compact"/>
                    <w:jc w:val="right"/>
                    <w:jc w:val="center"/>
                  </w:pPr>
                  <w:r>
                    <w:t xml:space="preserve">Upper 95% CI</w:t>
                  </w:r>
                </w:p>
              </w:tc>
            </w:tr>
            <w:tr>
              <w:tc>
                <w:tcPr/>
                <w:p>
                  <w:pPr>
                    <w:pStyle w:val="Compact"/>
                    <w:jc w:val="left"/>
                    <w:jc w:val="center"/>
                  </w:pPr>
                  <w:r>
                    <w:t xml:space="preserve">Female</w:t>
                  </w:r>
                </w:p>
              </w:tc>
              <w:tc>
                <w:tcPr/>
                <w:p>
                  <w:pPr>
                    <w:pStyle w:val="Compact"/>
                    <w:jc w:val="left"/>
                    <w:jc w:val="center"/>
                  </w:pPr>
                  <w:r>
                    <w:t xml:space="preserve">Foreleg</w:t>
                  </w:r>
                </w:p>
              </w:tc>
              <w:tc>
                <w:tcPr/>
                <w:p>
                  <w:pPr>
                    <w:pStyle w:val="Compact"/>
                    <w:jc w:val="right"/>
                    <w:jc w:val="center"/>
                  </w:pPr>
                  <w:r>
                    <w:t xml:space="preserve">0.711</w:t>
                  </w:r>
                </w:p>
              </w:tc>
              <w:tc>
                <w:tcPr/>
                <w:p>
                  <w:pPr>
                    <w:pStyle w:val="Compact"/>
                    <w:jc w:val="right"/>
                    <w:jc w:val="center"/>
                  </w:pPr>
                  <w:r>
                    <w:t xml:space="preserve">0.592</w:t>
                  </w:r>
                </w:p>
              </w:tc>
              <w:tc>
                <w:tcPr/>
                <w:p>
                  <w:pPr>
                    <w:pStyle w:val="Compact"/>
                    <w:jc w:val="right"/>
                    <w:jc w:val="center"/>
                  </w:pPr>
                  <w:r>
                    <w:t xml:space="preserve">0.829</w:t>
                  </w:r>
                </w:p>
              </w:tc>
            </w:tr>
            <w:tr>
              <w:tc>
                <w:tcPr/>
                <w:p>
                  <w:pPr>
                    <w:pStyle w:val="Compact"/>
                    <w:jc w:val="left"/>
                    <w:jc w:val="center"/>
                  </w:pPr>
                  <w:r>
                    <w:t xml:space="preserve">Eighth</w:t>
                  </w:r>
                </w:p>
              </w:tc>
              <w:tc>
                <w:tcPr/>
                <w:p>
                  <w:pPr>
                    <w:pStyle w:val="Compact"/>
                    <w:jc w:val="left"/>
                    <w:jc w:val="center"/>
                  </w:pPr>
                  <w:r>
                    <w:t xml:space="preserve">Foreleg</w:t>
                  </w:r>
                </w:p>
              </w:tc>
              <w:tc>
                <w:tcPr/>
                <w:p>
                  <w:pPr>
                    <w:pStyle w:val="Compact"/>
                    <w:jc w:val="right"/>
                    <w:jc w:val="center"/>
                  </w:pPr>
                  <w:r>
                    <w:t xml:space="preserve">0.741</w:t>
                  </w:r>
                </w:p>
              </w:tc>
              <w:tc>
                <w:tcPr/>
                <w:p>
                  <w:pPr>
                    <w:pStyle w:val="Compact"/>
                    <w:jc w:val="right"/>
                    <w:jc w:val="center"/>
                  </w:pPr>
                  <w:r>
                    <w:t xml:space="preserve">0.606</w:t>
                  </w:r>
                </w:p>
              </w:tc>
              <w:tc>
                <w:tcPr/>
                <w:p>
                  <w:pPr>
                    <w:pStyle w:val="Compact"/>
                    <w:jc w:val="right"/>
                    <w:jc w:val="center"/>
                  </w:pPr>
                  <w:r>
                    <w:t xml:space="preserve">0.876</w:t>
                  </w:r>
                </w:p>
              </w:tc>
            </w:tr>
            <w:tr>
              <w:tc>
                <w:tcPr/>
                <w:p>
                  <w:pPr>
                    <w:pStyle w:val="Compact"/>
                    <w:jc w:val="left"/>
                    <w:jc w:val="center"/>
                  </w:pPr>
                  <w:r>
                    <w:t xml:space="preserve">Ninth</w:t>
                  </w:r>
                </w:p>
              </w:tc>
              <w:tc>
                <w:tcPr/>
                <w:p>
                  <w:pPr>
                    <w:pStyle w:val="Compact"/>
                    <w:jc w:val="left"/>
                    <w:jc w:val="center"/>
                  </w:pPr>
                  <w:r>
                    <w:t xml:space="preserve">Foreleg</w:t>
                  </w:r>
                </w:p>
              </w:tc>
              <w:tc>
                <w:tcPr/>
                <w:p>
                  <w:pPr>
                    <w:pStyle w:val="Compact"/>
                    <w:jc w:val="right"/>
                    <w:jc w:val="center"/>
                  </w:pPr>
                  <w:r>
                    <w:t xml:space="preserve">0.604</w:t>
                  </w:r>
                </w:p>
              </w:tc>
              <w:tc>
                <w:tcPr/>
                <w:p>
                  <w:pPr>
                    <w:pStyle w:val="Compact"/>
                    <w:jc w:val="right"/>
                    <w:jc w:val="center"/>
                  </w:pPr>
                  <w:r>
                    <w:t xml:space="preserve">0.437</w:t>
                  </w:r>
                </w:p>
              </w:tc>
              <w:tc>
                <w:tcPr/>
                <w:p>
                  <w:pPr>
                    <w:pStyle w:val="Compact"/>
                    <w:jc w:val="right"/>
                    <w:jc w:val="center"/>
                  </w:pPr>
                  <w:r>
                    <w:t xml:space="preserve">0.770</w:t>
                  </w:r>
                </w:p>
              </w:tc>
            </w:tr>
            <w:tr>
              <w:tc>
                <w:tcPr/>
                <w:p>
                  <w:pPr>
                    <w:pStyle w:val="Compact"/>
                    <w:jc w:val="left"/>
                    <w:jc w:val="center"/>
                  </w:pPr>
                  <w:r>
                    <w:t xml:space="preserve">Tenth</w:t>
                  </w:r>
                </w:p>
              </w:tc>
              <w:tc>
                <w:tcPr/>
                <w:p>
                  <w:pPr>
                    <w:pStyle w:val="Compact"/>
                    <w:jc w:val="left"/>
                    <w:jc w:val="center"/>
                  </w:pPr>
                  <w:r>
                    <w:t xml:space="preserve">Foreleg</w:t>
                  </w:r>
                </w:p>
              </w:tc>
              <w:tc>
                <w:tcPr/>
                <w:p>
                  <w:pPr>
                    <w:pStyle w:val="Compact"/>
                    <w:jc w:val="right"/>
                    <w:jc w:val="center"/>
                  </w:pPr>
                  <w:r>
                    <w:t xml:space="preserve">0.332</w:t>
                  </w:r>
                </w:p>
              </w:tc>
              <w:tc>
                <w:tcPr/>
                <w:p>
                  <w:pPr>
                    <w:pStyle w:val="Compact"/>
                    <w:jc w:val="right"/>
                    <w:jc w:val="center"/>
                  </w:pPr>
                  <w:r>
                    <w:t xml:space="preserve">0.056</w:t>
                  </w:r>
                </w:p>
              </w:tc>
              <w:tc>
                <w:tcPr/>
                <w:p>
                  <w:pPr>
                    <w:pStyle w:val="Compact"/>
                    <w:jc w:val="right"/>
                    <w:jc w:val="center"/>
                  </w:pPr>
                  <w:r>
                    <w:t xml:space="preserve">0.607</w:t>
                  </w:r>
                </w:p>
              </w:tc>
            </w:tr>
            <w:tr>
              <w:tc>
                <w:tcPr/>
                <w:p>
                  <w:pPr>
                    <w:pStyle w:val="Compact"/>
                    <w:jc w:val="left"/>
                    <w:jc w:val="center"/>
                  </w:pPr>
                  <w:r>
                    <w:t xml:space="preserve">Female</w:t>
                  </w:r>
                </w:p>
              </w:tc>
              <w:tc>
                <w:tcPr/>
                <w:p>
                  <w:pPr>
                    <w:pStyle w:val="Compact"/>
                    <w:jc w:val="left"/>
                    <w:jc w:val="center"/>
                  </w:pPr>
                  <w:r>
                    <w:t xml:space="preserve">Midleg</w:t>
                  </w:r>
                </w:p>
              </w:tc>
              <w:tc>
                <w:tcPr/>
                <w:p>
                  <w:pPr>
                    <w:pStyle w:val="Compact"/>
                    <w:jc w:val="right"/>
                    <w:jc w:val="center"/>
                  </w:pPr>
                  <w:r>
                    <w:t xml:space="preserve">0.727</w:t>
                  </w:r>
                </w:p>
              </w:tc>
              <w:tc>
                <w:tcPr/>
                <w:p>
                  <w:pPr>
                    <w:pStyle w:val="Compact"/>
                    <w:jc w:val="right"/>
                    <w:jc w:val="center"/>
                  </w:pPr>
                  <w:r>
                    <w:t xml:space="preserve">0.609</w:t>
                  </w:r>
                </w:p>
              </w:tc>
              <w:tc>
                <w:tcPr/>
                <w:p>
                  <w:pPr>
                    <w:pStyle w:val="Compact"/>
                    <w:jc w:val="right"/>
                    <w:jc w:val="center"/>
                  </w:pPr>
                  <w:r>
                    <w:t xml:space="preserve">0.846</w:t>
                  </w:r>
                </w:p>
              </w:tc>
            </w:tr>
            <w:tr>
              <w:tc>
                <w:tcPr/>
                <w:p>
                  <w:pPr>
                    <w:pStyle w:val="Compact"/>
                    <w:jc w:val="left"/>
                    <w:jc w:val="center"/>
                  </w:pPr>
                  <w:r>
                    <w:t xml:space="preserve">Eighth</w:t>
                  </w:r>
                </w:p>
              </w:tc>
              <w:tc>
                <w:tcPr/>
                <w:p>
                  <w:pPr>
                    <w:pStyle w:val="Compact"/>
                    <w:jc w:val="left"/>
                    <w:jc w:val="center"/>
                  </w:pPr>
                  <w:r>
                    <w:t xml:space="preserve">Midleg</w:t>
                  </w:r>
                </w:p>
              </w:tc>
              <w:tc>
                <w:tcPr/>
                <w:p>
                  <w:pPr>
                    <w:pStyle w:val="Compact"/>
                    <w:jc w:val="right"/>
                    <w:jc w:val="center"/>
                  </w:pPr>
                  <w:r>
                    <w:t xml:space="preserve">0.690</w:t>
                  </w:r>
                </w:p>
              </w:tc>
              <w:tc>
                <w:tcPr/>
                <w:p>
                  <w:pPr>
                    <w:pStyle w:val="Compact"/>
                    <w:jc w:val="right"/>
                    <w:jc w:val="center"/>
                  </w:pPr>
                  <w:r>
                    <w:t xml:space="preserve">0.555</w:t>
                  </w:r>
                </w:p>
              </w:tc>
              <w:tc>
                <w:tcPr/>
                <w:p>
                  <w:pPr>
                    <w:pStyle w:val="Compact"/>
                    <w:jc w:val="right"/>
                    <w:jc w:val="center"/>
                  </w:pPr>
                  <w:r>
                    <w:t xml:space="preserve">0.826</w:t>
                  </w:r>
                </w:p>
              </w:tc>
            </w:tr>
            <w:tr>
              <w:tc>
                <w:tcPr/>
                <w:p>
                  <w:pPr>
                    <w:pStyle w:val="Compact"/>
                    <w:jc w:val="left"/>
                    <w:jc w:val="center"/>
                  </w:pPr>
                  <w:r>
                    <w:t xml:space="preserve">Ninth</w:t>
                  </w:r>
                </w:p>
              </w:tc>
              <w:tc>
                <w:tcPr/>
                <w:p>
                  <w:pPr>
                    <w:pStyle w:val="Compact"/>
                    <w:jc w:val="left"/>
                    <w:jc w:val="center"/>
                  </w:pPr>
                  <w:r>
                    <w:t xml:space="preserve">Midleg</w:t>
                  </w:r>
                </w:p>
              </w:tc>
              <w:tc>
                <w:tcPr/>
                <w:p>
                  <w:pPr>
                    <w:pStyle w:val="Compact"/>
                    <w:jc w:val="right"/>
                    <w:jc w:val="center"/>
                  </w:pPr>
                  <w:r>
                    <w:t xml:space="preserve">0.655</w:t>
                  </w:r>
                </w:p>
              </w:tc>
              <w:tc>
                <w:tcPr/>
                <w:p>
                  <w:pPr>
                    <w:pStyle w:val="Compact"/>
                    <w:jc w:val="right"/>
                    <w:jc w:val="center"/>
                  </w:pPr>
                  <w:r>
                    <w:t xml:space="preserve">0.488</w:t>
                  </w:r>
                </w:p>
              </w:tc>
              <w:tc>
                <w:tcPr/>
                <w:p>
                  <w:pPr>
                    <w:pStyle w:val="Compact"/>
                    <w:jc w:val="right"/>
                    <w:jc w:val="center"/>
                  </w:pPr>
                  <w:r>
                    <w:t xml:space="preserve">0.821</w:t>
                  </w:r>
                </w:p>
              </w:tc>
            </w:tr>
            <w:tr>
              <w:tc>
                <w:tcPr/>
                <w:p>
                  <w:pPr>
                    <w:pStyle w:val="Compact"/>
                    <w:jc w:val="left"/>
                    <w:jc w:val="center"/>
                  </w:pPr>
                  <w:r>
                    <w:t xml:space="preserve">Tenth</w:t>
                  </w:r>
                </w:p>
              </w:tc>
              <w:tc>
                <w:tcPr/>
                <w:p>
                  <w:pPr>
                    <w:pStyle w:val="Compact"/>
                    <w:jc w:val="left"/>
                    <w:jc w:val="center"/>
                  </w:pPr>
                  <w:r>
                    <w:t xml:space="preserve">Midleg</w:t>
                  </w:r>
                </w:p>
              </w:tc>
              <w:tc>
                <w:tcPr/>
                <w:p>
                  <w:pPr>
                    <w:pStyle w:val="Compact"/>
                    <w:jc w:val="right"/>
                    <w:jc w:val="center"/>
                  </w:pPr>
                  <w:r>
                    <w:t xml:space="preserve">0.329</w:t>
                  </w:r>
                </w:p>
              </w:tc>
              <w:tc>
                <w:tcPr/>
                <w:p>
                  <w:pPr>
                    <w:pStyle w:val="Compact"/>
                    <w:jc w:val="right"/>
                    <w:jc w:val="center"/>
                  </w:pPr>
                  <w:r>
                    <w:t xml:space="preserve">0.053</w:t>
                  </w:r>
                </w:p>
              </w:tc>
              <w:tc>
                <w:tcPr/>
                <w:p>
                  <w:pPr>
                    <w:pStyle w:val="Compact"/>
                    <w:jc w:val="right"/>
                    <w:jc w:val="center"/>
                  </w:pPr>
                  <w:r>
                    <w:t xml:space="preserve">0.604</w:t>
                  </w:r>
                </w:p>
              </w:tc>
            </w:tr>
            <w:tr>
              <w:tc>
                <w:tcPr/>
                <w:p>
                  <w:pPr>
                    <w:pStyle w:val="Compact"/>
                    <w:jc w:val="left"/>
                    <w:jc w:val="center"/>
                  </w:pPr>
                  <w:r>
                    <w:t xml:space="preserve">Female</w:t>
                  </w:r>
                </w:p>
              </w:tc>
              <w:tc>
                <w:tcPr/>
                <w:p>
                  <w:pPr>
                    <w:pStyle w:val="Compact"/>
                    <w:jc w:val="left"/>
                    <w:jc w:val="center"/>
                  </w:pPr>
                  <w:r>
                    <w:t xml:space="preserve">Hindleg</w:t>
                  </w:r>
                </w:p>
              </w:tc>
              <w:tc>
                <w:tcPr/>
                <w:p>
                  <w:pPr>
                    <w:pStyle w:val="Compact"/>
                    <w:jc w:val="right"/>
                    <w:jc w:val="center"/>
                  </w:pPr>
                  <w:r>
                    <w:t xml:space="preserve">0.809</w:t>
                  </w:r>
                </w:p>
              </w:tc>
              <w:tc>
                <w:tcPr/>
                <w:p>
                  <w:pPr>
                    <w:pStyle w:val="Compact"/>
                    <w:jc w:val="right"/>
                    <w:jc w:val="center"/>
                  </w:pPr>
                  <w:r>
                    <w:t xml:space="preserve">0.691</w:t>
                  </w:r>
                </w:p>
              </w:tc>
              <w:tc>
                <w:tcPr/>
                <w:p>
                  <w:pPr>
                    <w:pStyle w:val="Compact"/>
                    <w:jc w:val="right"/>
                    <w:jc w:val="center"/>
                  </w:pPr>
                  <w:r>
                    <w:t xml:space="preserve">0.928</w:t>
                  </w:r>
                </w:p>
              </w:tc>
            </w:tr>
            <w:tr>
              <w:tc>
                <w:tcPr/>
                <w:p>
                  <w:pPr>
                    <w:pStyle w:val="Compact"/>
                    <w:jc w:val="left"/>
                    <w:jc w:val="center"/>
                  </w:pPr>
                  <w:r>
                    <w:t xml:space="preserve">Eighth</w:t>
                  </w:r>
                </w:p>
              </w:tc>
              <w:tc>
                <w:tcPr/>
                <w:p>
                  <w:pPr>
                    <w:pStyle w:val="Compact"/>
                    <w:jc w:val="left"/>
                    <w:jc w:val="center"/>
                  </w:pPr>
                  <w:r>
                    <w:t xml:space="preserve">Hindleg</w:t>
                  </w:r>
                </w:p>
              </w:tc>
              <w:tc>
                <w:tcPr/>
                <w:p>
                  <w:pPr>
                    <w:pStyle w:val="Compact"/>
                    <w:jc w:val="right"/>
                    <w:jc w:val="center"/>
                  </w:pPr>
                  <w:r>
                    <w:t xml:space="preserve">0.647</w:t>
                  </w:r>
                </w:p>
              </w:tc>
              <w:tc>
                <w:tcPr/>
                <w:p>
                  <w:pPr>
                    <w:pStyle w:val="Compact"/>
                    <w:jc w:val="right"/>
                    <w:jc w:val="center"/>
                  </w:pPr>
                  <w:r>
                    <w:t xml:space="preserve">0.511</w:t>
                  </w:r>
                </w:p>
              </w:tc>
              <w:tc>
                <w:tcPr/>
                <w:p>
                  <w:pPr>
                    <w:pStyle w:val="Compact"/>
                    <w:jc w:val="right"/>
                    <w:jc w:val="center"/>
                  </w:pPr>
                  <w:r>
                    <w:t xml:space="preserve">0.782</w:t>
                  </w:r>
                </w:p>
              </w:tc>
            </w:tr>
            <w:tr>
              <w:tc>
                <w:tcPr/>
                <w:p>
                  <w:pPr>
                    <w:pStyle w:val="Compact"/>
                    <w:jc w:val="left"/>
                    <w:jc w:val="center"/>
                  </w:pPr>
                  <w:r>
                    <w:t xml:space="preserve">Ninth</w:t>
                  </w:r>
                </w:p>
              </w:tc>
              <w:tc>
                <w:tcPr/>
                <w:p>
                  <w:pPr>
                    <w:pStyle w:val="Compact"/>
                    <w:jc w:val="left"/>
                    <w:jc w:val="center"/>
                  </w:pPr>
                  <w:r>
                    <w:t xml:space="preserve">Hindleg</w:t>
                  </w:r>
                </w:p>
              </w:tc>
              <w:tc>
                <w:tcPr/>
                <w:p>
                  <w:pPr>
                    <w:pStyle w:val="Compact"/>
                    <w:jc w:val="right"/>
                    <w:jc w:val="center"/>
                  </w:pPr>
                  <w:r>
                    <w:t xml:space="preserve">0.569</w:t>
                  </w:r>
                </w:p>
              </w:tc>
              <w:tc>
                <w:tcPr/>
                <w:p>
                  <w:pPr>
                    <w:pStyle w:val="Compact"/>
                    <w:jc w:val="right"/>
                    <w:jc w:val="center"/>
                  </w:pPr>
                  <w:r>
                    <w:t xml:space="preserve">0.403</w:t>
                  </w:r>
                </w:p>
              </w:tc>
              <w:tc>
                <w:tcPr/>
                <w:p>
                  <w:pPr>
                    <w:pStyle w:val="Compact"/>
                    <w:jc w:val="right"/>
                    <w:jc w:val="center"/>
                  </w:pPr>
                  <w:r>
                    <w:t xml:space="preserve">0.736</w:t>
                  </w:r>
                </w:p>
              </w:tc>
            </w:tr>
            <w:tr>
              <w:tc>
                <w:tcPr/>
                <w:p>
                  <w:pPr>
                    <w:pStyle w:val="Compact"/>
                    <w:jc w:val="left"/>
                    <w:jc w:val="center"/>
                  </w:pPr>
                  <w:r>
                    <w:t xml:space="preserve">Tenth</w:t>
                  </w:r>
                </w:p>
              </w:tc>
              <w:tc>
                <w:tcPr/>
                <w:p>
                  <w:pPr>
                    <w:pStyle w:val="Compact"/>
                    <w:jc w:val="left"/>
                    <w:jc w:val="center"/>
                  </w:pPr>
                  <w:r>
                    <w:t xml:space="preserve">Hindleg</w:t>
                  </w:r>
                </w:p>
              </w:tc>
              <w:tc>
                <w:tcPr/>
                <w:p>
                  <w:pPr>
                    <w:pStyle w:val="Compact"/>
                    <w:jc w:val="right"/>
                    <w:jc w:val="center"/>
                  </w:pPr>
                  <w:r>
                    <w:t xml:space="preserve">0.273</w:t>
                  </w:r>
                </w:p>
              </w:tc>
              <w:tc>
                <w:tcPr/>
                <w:p>
                  <w:pPr>
                    <w:pStyle w:val="Compact"/>
                    <w:jc w:val="right"/>
                    <w:jc w:val="center"/>
                  </w:pPr>
                  <w:r>
                    <w:t xml:space="preserve">-0.003</w:t>
                  </w:r>
                </w:p>
              </w:tc>
              <w:tc>
                <w:tcPr/>
                <w:p>
                  <w:pPr>
                    <w:pStyle w:val="Compact"/>
                    <w:jc w:val="right"/>
                    <w:jc w:val="center"/>
                  </w:pPr>
                  <w:r>
                    <w:t xml:space="preserve">0.548</w:t>
                  </w:r>
                </w:p>
              </w:tc>
            </w:tr>
          </w:tbl>
          <w:bookmarkEnd w:id="28"/>
          <w:p/>
        </w:tc>
      </w:tr>
    </w:tbl>
    <w:tbl>
      <w:tblPr>
        <w:tblStyle w:val="Table"/>
        <w:tblW w:type="pct" w:w="5000"/>
        <w:tblLayout w:type="fixed"/>
        <w:tblLook w:firstRow="0" w:lastRow="0" w:firstColumn="0" w:lastColumn="0" w:noHBand="0" w:noVBand="0" w:val="0000"/>
      </w:tblPr>
      <w:tblGrid>
        <w:gridCol w:w="7920"/>
      </w:tblGrid>
      <w:tr>
        <w:tc>
          <w:tcPr/>
          <w:bookmarkStart w:id="32" w:name="fig-leg-allometries"/>
          <w:p>
            <w:pPr>
              <w:pStyle w:val="Compact"/>
              <w:jc w:val="center"/>
            </w:pPr>
            <w:r>
              <w:drawing>
                <wp:inline>
                  <wp:extent cx="5969000" cy="4642555"/>
                  <wp:effectExtent b="0" l="0" r="0" t="0"/>
                  <wp:docPr descr="" title="" id="30" name="Picture"/>
                  <a:graphic>
                    <a:graphicData uri="http://schemas.openxmlformats.org/drawingml/2006/picture">
                      <pic:pic>
                        <pic:nvPicPr>
                          <pic:cNvPr descr="analysis_outputs/weta_trait_analysis/figures/leg_allometries.png" id="31" name="Picture"/>
                          <pic:cNvPicPr>
                            <a:picLocks noChangeArrowheads="1" noChangeAspect="1"/>
                          </pic:cNvPicPr>
                        </pic:nvPicPr>
                        <pic:blipFill>
                          <a:blip r:embed="rId29"/>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Log–log relationships between pronotum length and total foreleg, midleg, and hindleg length in females and the three male developmental groups.</w:t>
            </w:r>
          </w:p>
          <w:bookmarkEnd w:id="32"/>
        </w:tc>
      </w:tr>
    </w:tbl>
    <w:bookmarkEnd w:id="33"/>
    <w:bookmarkStart w:id="35" w:name="femur-and-tibia-components"/>
    <w:p>
      <w:pPr>
        <w:pStyle w:val="Heading3"/>
      </w:pPr>
      <w:r>
        <w:t xml:space="preserve">1.2.3 Femur and tibia components</w:t>
      </w:r>
    </w:p>
    <w:p>
      <w:pPr>
        <w:pStyle w:val="FirstParagraph"/>
      </w:pPr>
      <w:r>
        <w:t xml:space="preserve">Group-specific allometric slopes were supported for Forefemur, Midfemur, Hindfemur, Hindtibia; the remaining segment models were adequately described by common slopes. These secondary analyses indicate which femur or tibia components contributed to the group-level differences in total leg allometry.</w:t>
      </w:r>
    </w:p>
    <w:tbl>
      <w:tblPr>
        <w:tblStyle w:val="Table"/>
        <w:tblW w:type="pct" w:w="5000"/>
        <w:tblLayout w:type="fixed"/>
        <w:tblLook w:firstRow="0" w:lastRow="0" w:firstColumn="0" w:lastColumn="0" w:noHBand="0" w:noVBand="0" w:val="0000"/>
      </w:tblPr>
      <w:tblGrid>
        <w:gridCol w:w="7920"/>
      </w:tblGrid>
      <w:tr>
        <w:tc>
          <w:tcPr/>
          <w:bookmarkStart w:id="34" w:name="tbl-segment-tests"/>
          <w:p>
            <w:pPr>
              <w:jc w:val="center"/>
            </w:pPr>
            <w:pPr>
              <w:jc w:val="left"/>
              <w:spacing w:before="200"/>
              <w:pStyle w:val="ImageCaption"/>
            </w:pPr>
            <w:r>
              <w:t xml:space="preserve">Table 4: Nested-model tests of group-specific allometric slopes for each femur and tibia component.</w:t>
            </w:r>
          </w:p>
          <w:tbl>
            <w:tblPr>
              <w:tblStyle w:val="Table"/>
              <w:tblW w:type="pct" w:w="5000"/>
              <w:tblLayout w:type="fixed"/>
              <w:tblLook w:firstRow="1" w:lastRow="0" w:firstColumn="0" w:lastColumn="0" w:noHBand="0" w:noVBand="0" w:val="0020"/>
            </w:tblPr>
            <w:tblGrid>
              <w:gridCol w:w="1131"/>
              <w:gridCol w:w="1470"/>
              <w:gridCol w:w="1357"/>
              <w:gridCol w:w="565"/>
              <w:gridCol w:w="905"/>
              <w:gridCol w:w="2489"/>
            </w:tblGrid>
            <w:tr>
              <w:trPr>
                <w:tblHeader w:val="on"/>
              </w:trPr>
              <w:tc>
                <w:tcPr/>
                <w:p>
                  <w:pPr>
                    <w:pStyle w:val="Compact"/>
                    <w:jc w:val="left"/>
                    <w:jc w:val="center"/>
                  </w:pPr>
                  <w:r>
                    <w:t xml:space="preserve">Segment</w:t>
                  </w:r>
                </w:p>
              </w:tc>
              <w:tc>
                <w:tcPr/>
                <w:p>
                  <w:pPr>
                    <w:pStyle w:val="Compact"/>
                    <w:jc w:val="right"/>
                    <w:jc w:val="center"/>
                  </w:pPr>
                  <w:r>
                    <w:t xml:space="preserve">Numerator df</w:t>
                  </w:r>
                </w:p>
              </w:tc>
              <w:tc>
                <w:tcPr/>
                <w:p>
                  <w:pPr>
                    <w:pStyle w:val="Compact"/>
                    <w:jc w:val="right"/>
                    <w:jc w:val="center"/>
                  </w:pPr>
                  <w:r>
                    <w:t xml:space="preserve">Residual df</w:t>
                  </w:r>
                </w:p>
              </w:tc>
              <w:tc>
                <w:tcPr/>
                <w:p>
                  <w:pPr>
                    <w:pStyle w:val="Compact"/>
                    <w:jc w:val="right"/>
                    <w:jc w:val="center"/>
                  </w:pPr>
                  <w:r>
                    <w:t xml:space="preserve">F</w:t>
                  </w:r>
                </w:p>
              </w:tc>
              <w:tc>
                <w:tcPr/>
                <w:p>
                  <w:pPr>
                    <w:pStyle w:val="Compact"/>
                    <w:jc w:val="right"/>
                    <w:jc w:val="center"/>
                  </w:pPr>
                  <w:r>
                    <w:t xml:space="preserve">P-value</w:t>
                  </w:r>
                </w:p>
              </w:tc>
              <w:tc>
                <w:tcPr/>
                <w:p>
                  <w:pPr>
                    <w:pStyle w:val="Compact"/>
                    <w:jc w:val="left"/>
                    <w:jc w:val="center"/>
                  </w:pPr>
                  <w:r>
                    <w:t xml:space="preserve">Result</w:t>
                  </w:r>
                </w:p>
              </w:tc>
            </w:tr>
            <w:tr>
              <w:tc>
                <w:tcPr/>
                <w:p>
                  <w:pPr>
                    <w:pStyle w:val="Compact"/>
                    <w:jc w:val="left"/>
                    <w:jc w:val="center"/>
                  </w:pPr>
                  <w:r>
                    <w:t xml:space="preserve">Forefemur</w:t>
                  </w:r>
                </w:p>
              </w:tc>
              <w:tc>
                <w:tcPr/>
                <w:p>
                  <w:pPr>
                    <w:pStyle w:val="Compact"/>
                    <w:jc w:val="right"/>
                    <w:jc w:val="center"/>
                  </w:pPr>
                  <w:r>
                    <w:t xml:space="preserve">3</w:t>
                  </w:r>
                </w:p>
              </w:tc>
              <w:tc>
                <w:tcPr/>
                <w:p>
                  <w:pPr>
                    <w:pStyle w:val="Compact"/>
                    <w:jc w:val="right"/>
                    <w:jc w:val="center"/>
                  </w:pPr>
                  <w:r>
                    <w:t xml:space="preserve">305</w:t>
                  </w:r>
                </w:p>
              </w:tc>
              <w:tc>
                <w:tcPr/>
                <w:p>
                  <w:pPr>
                    <w:pStyle w:val="Compact"/>
                    <w:jc w:val="right"/>
                    <w:jc w:val="center"/>
                  </w:pPr>
                  <w:r>
                    <w:t xml:space="preserve">4.06</w:t>
                  </w:r>
                </w:p>
              </w:tc>
              <w:tc>
                <w:tcPr/>
                <w:p>
                  <w:pPr>
                    <w:pStyle w:val="Compact"/>
                    <w:jc w:val="right"/>
                    <w:jc w:val="center"/>
                  </w:pPr>
                  <w:r>
                    <w:t xml:space="preserve">0.007</w:t>
                  </w:r>
                </w:p>
              </w:tc>
              <w:tc>
                <w:tcPr/>
                <w:p>
                  <w:pPr>
                    <w:pStyle w:val="Compact"/>
                    <w:jc w:val="left"/>
                    <w:jc w:val="center"/>
                  </w:pPr>
                  <w:r>
                    <w:t xml:space="preserve">Different slopes</w:t>
                  </w:r>
                </w:p>
              </w:tc>
            </w:tr>
            <w:tr>
              <w:tc>
                <w:tcPr/>
                <w:p>
                  <w:pPr>
                    <w:pStyle w:val="Compact"/>
                    <w:jc w:val="left"/>
                    <w:jc w:val="center"/>
                  </w:pPr>
                  <w:r>
                    <w:t xml:space="preserve">Foretibia</w:t>
                  </w:r>
                </w:p>
              </w:tc>
              <w:tc>
                <w:tcPr/>
                <w:p>
                  <w:pPr>
                    <w:pStyle w:val="Compact"/>
                    <w:jc w:val="right"/>
                    <w:jc w:val="center"/>
                  </w:pPr>
                  <w:r>
                    <w:t xml:space="preserve">3</w:t>
                  </w:r>
                </w:p>
              </w:tc>
              <w:tc>
                <w:tcPr/>
                <w:p>
                  <w:pPr>
                    <w:pStyle w:val="Compact"/>
                    <w:jc w:val="right"/>
                    <w:jc w:val="center"/>
                  </w:pPr>
                  <w:r>
                    <w:t xml:space="preserve">305</w:t>
                  </w:r>
                </w:p>
              </w:tc>
              <w:tc>
                <w:tcPr/>
                <w:p>
                  <w:pPr>
                    <w:pStyle w:val="Compact"/>
                    <w:jc w:val="right"/>
                    <w:jc w:val="center"/>
                  </w:pPr>
                  <w:r>
                    <w:t xml:space="preserve">1.45</w:t>
                  </w:r>
                </w:p>
              </w:tc>
              <w:tc>
                <w:tcPr/>
                <w:p>
                  <w:pPr>
                    <w:pStyle w:val="Compact"/>
                    <w:jc w:val="right"/>
                    <w:jc w:val="center"/>
                  </w:pPr>
                  <w:r>
                    <w:t xml:space="preserve">0.228</w:t>
                  </w:r>
                </w:p>
              </w:tc>
              <w:tc>
                <w:tcPr/>
                <w:p>
                  <w:pPr>
                    <w:pStyle w:val="Compact"/>
                    <w:jc w:val="left"/>
                    <w:jc w:val="center"/>
                  </w:pPr>
                  <w:r>
                    <w:t xml:space="preserve">Common slope adequate</w:t>
                  </w:r>
                </w:p>
              </w:tc>
            </w:tr>
            <w:tr>
              <w:tc>
                <w:tcPr/>
                <w:p>
                  <w:pPr>
                    <w:pStyle w:val="Compact"/>
                    <w:jc w:val="left"/>
                    <w:jc w:val="center"/>
                  </w:pPr>
                  <w:r>
                    <w:t xml:space="preserve">Midfemur</w:t>
                  </w:r>
                </w:p>
              </w:tc>
              <w:tc>
                <w:tcPr/>
                <w:p>
                  <w:pPr>
                    <w:pStyle w:val="Compact"/>
                    <w:jc w:val="right"/>
                    <w:jc w:val="center"/>
                  </w:pPr>
                  <w:r>
                    <w:t xml:space="preserve">3</w:t>
                  </w:r>
                </w:p>
              </w:tc>
              <w:tc>
                <w:tcPr/>
                <w:p>
                  <w:pPr>
                    <w:pStyle w:val="Compact"/>
                    <w:jc w:val="right"/>
                    <w:jc w:val="center"/>
                  </w:pPr>
                  <w:r>
                    <w:t xml:space="preserve">304</w:t>
                  </w:r>
                </w:p>
              </w:tc>
              <w:tc>
                <w:tcPr/>
                <w:p>
                  <w:pPr>
                    <w:pStyle w:val="Compact"/>
                    <w:jc w:val="right"/>
                    <w:jc w:val="center"/>
                  </w:pPr>
                  <w:r>
                    <w:t xml:space="preserve">2.82</w:t>
                  </w:r>
                </w:p>
              </w:tc>
              <w:tc>
                <w:tcPr/>
                <w:p>
                  <w:pPr>
                    <w:pStyle w:val="Compact"/>
                    <w:jc w:val="right"/>
                    <w:jc w:val="center"/>
                  </w:pPr>
                  <w:r>
                    <w:t xml:space="preserve">0.039</w:t>
                  </w:r>
                </w:p>
              </w:tc>
              <w:tc>
                <w:tcPr/>
                <w:p>
                  <w:pPr>
                    <w:pStyle w:val="Compact"/>
                    <w:jc w:val="left"/>
                    <w:jc w:val="center"/>
                  </w:pPr>
                  <w:r>
                    <w:t xml:space="preserve">Different slopes</w:t>
                  </w:r>
                </w:p>
              </w:tc>
            </w:tr>
            <w:tr>
              <w:tc>
                <w:tcPr/>
                <w:p>
                  <w:pPr>
                    <w:pStyle w:val="Compact"/>
                    <w:jc w:val="left"/>
                    <w:jc w:val="center"/>
                  </w:pPr>
                  <w:r>
                    <w:t xml:space="preserve">Midtibia</w:t>
                  </w:r>
                </w:p>
              </w:tc>
              <w:tc>
                <w:tcPr/>
                <w:p>
                  <w:pPr>
                    <w:pStyle w:val="Compact"/>
                    <w:jc w:val="right"/>
                    <w:jc w:val="center"/>
                  </w:pPr>
                  <w:r>
                    <w:t xml:space="preserve">3</w:t>
                  </w:r>
                </w:p>
              </w:tc>
              <w:tc>
                <w:tcPr/>
                <w:p>
                  <w:pPr>
                    <w:pStyle w:val="Compact"/>
                    <w:jc w:val="right"/>
                    <w:jc w:val="center"/>
                  </w:pPr>
                  <w:r>
                    <w:t xml:space="preserve">304</w:t>
                  </w:r>
                </w:p>
              </w:tc>
              <w:tc>
                <w:tcPr/>
                <w:p>
                  <w:pPr>
                    <w:pStyle w:val="Compact"/>
                    <w:jc w:val="right"/>
                    <w:jc w:val="center"/>
                  </w:pPr>
                  <w:r>
                    <w:t xml:space="preserve">1.95</w:t>
                  </w:r>
                </w:p>
              </w:tc>
              <w:tc>
                <w:tcPr/>
                <w:p>
                  <w:pPr>
                    <w:pStyle w:val="Compact"/>
                    <w:jc w:val="right"/>
                    <w:jc w:val="center"/>
                  </w:pPr>
                  <w:r>
                    <w:t xml:space="preserve">0.121</w:t>
                  </w:r>
                </w:p>
              </w:tc>
              <w:tc>
                <w:tcPr/>
                <w:p>
                  <w:pPr>
                    <w:pStyle w:val="Compact"/>
                    <w:jc w:val="left"/>
                    <w:jc w:val="center"/>
                  </w:pPr>
                  <w:r>
                    <w:t xml:space="preserve">Common slope adequate</w:t>
                  </w:r>
                </w:p>
              </w:tc>
            </w:tr>
            <w:tr>
              <w:tc>
                <w:tcPr/>
                <w:p>
                  <w:pPr>
                    <w:pStyle w:val="Compact"/>
                    <w:jc w:val="left"/>
                    <w:jc w:val="center"/>
                  </w:pPr>
                  <w:r>
                    <w:t xml:space="preserve">Hindfemur</w:t>
                  </w:r>
                </w:p>
              </w:tc>
              <w:tc>
                <w:tcPr/>
                <w:p>
                  <w:pPr>
                    <w:pStyle w:val="Compact"/>
                    <w:jc w:val="right"/>
                    <w:jc w:val="center"/>
                  </w:pPr>
                  <w:r>
                    <w:t xml:space="preserve">3</w:t>
                  </w:r>
                </w:p>
              </w:tc>
              <w:tc>
                <w:tcPr/>
                <w:p>
                  <w:pPr>
                    <w:pStyle w:val="Compact"/>
                    <w:jc w:val="right"/>
                    <w:jc w:val="center"/>
                  </w:pPr>
                  <w:r>
                    <w:t xml:space="preserve">304</w:t>
                  </w:r>
                </w:p>
              </w:tc>
              <w:tc>
                <w:tcPr/>
                <w:p>
                  <w:pPr>
                    <w:pStyle w:val="Compact"/>
                    <w:jc w:val="right"/>
                    <w:jc w:val="center"/>
                  </w:pPr>
                  <w:r>
                    <w:t xml:space="preserve">3.79</w:t>
                  </w:r>
                </w:p>
              </w:tc>
              <w:tc>
                <w:tcPr/>
                <w:p>
                  <w:pPr>
                    <w:pStyle w:val="Compact"/>
                    <w:jc w:val="right"/>
                    <w:jc w:val="center"/>
                  </w:pPr>
                  <w:r>
                    <w:t xml:space="preserve">0.011</w:t>
                  </w:r>
                </w:p>
              </w:tc>
              <w:tc>
                <w:tcPr/>
                <w:p>
                  <w:pPr>
                    <w:pStyle w:val="Compact"/>
                    <w:jc w:val="left"/>
                    <w:jc w:val="center"/>
                  </w:pPr>
                  <w:r>
                    <w:t xml:space="preserve">Different slopes</w:t>
                  </w:r>
                </w:p>
              </w:tc>
            </w:tr>
            <w:tr>
              <w:tc>
                <w:tcPr/>
                <w:p>
                  <w:pPr>
                    <w:pStyle w:val="Compact"/>
                    <w:jc w:val="left"/>
                    <w:jc w:val="center"/>
                  </w:pPr>
                  <w:r>
                    <w:t xml:space="preserve">Hindtibia</w:t>
                  </w:r>
                </w:p>
              </w:tc>
              <w:tc>
                <w:tcPr/>
                <w:p>
                  <w:pPr>
                    <w:pStyle w:val="Compact"/>
                    <w:jc w:val="right"/>
                    <w:jc w:val="center"/>
                  </w:pPr>
                  <w:r>
                    <w:t xml:space="preserve">3</w:t>
                  </w:r>
                </w:p>
              </w:tc>
              <w:tc>
                <w:tcPr/>
                <w:p>
                  <w:pPr>
                    <w:pStyle w:val="Compact"/>
                    <w:jc w:val="right"/>
                    <w:jc w:val="center"/>
                  </w:pPr>
                  <w:r>
                    <w:t xml:space="preserve">303</w:t>
                  </w:r>
                </w:p>
              </w:tc>
              <w:tc>
                <w:tcPr/>
                <w:p>
                  <w:pPr>
                    <w:pStyle w:val="Compact"/>
                    <w:jc w:val="right"/>
                    <w:jc w:val="center"/>
                  </w:pPr>
                  <w:r>
                    <w:t xml:space="preserve">4.20</w:t>
                  </w:r>
                </w:p>
              </w:tc>
              <w:tc>
                <w:tcPr/>
                <w:p>
                  <w:pPr>
                    <w:pStyle w:val="Compact"/>
                    <w:jc w:val="right"/>
                    <w:jc w:val="center"/>
                  </w:pPr>
                  <w:r>
                    <w:t xml:space="preserve">0.006</w:t>
                  </w:r>
                </w:p>
              </w:tc>
              <w:tc>
                <w:tcPr/>
                <w:p>
                  <w:pPr>
                    <w:pStyle w:val="Compact"/>
                    <w:jc w:val="left"/>
                    <w:jc w:val="center"/>
                  </w:pPr>
                  <w:r>
                    <w:t xml:space="preserve">Different slopes</w:t>
                  </w:r>
                </w:p>
              </w:tc>
            </w:tr>
          </w:tbl>
          <w:bookmarkEnd w:id="34"/>
          <w:p/>
        </w:tc>
      </w:tr>
    </w:tbl>
    <w:bookmarkEnd w:id="35"/>
    <w:bookmarkEnd w:id="36"/>
    <w:bookmarkStart w:id="49" w:name="sensory-morphology"/>
    <w:p>
      <w:pPr>
        <w:pStyle w:val="Heading2"/>
      </w:pPr>
      <w:r>
        <w:t xml:space="preserve">1.3 Sensory morphology</w:t>
      </w:r>
    </w:p>
    <w:bookmarkStart w:id="42" w:name="ear-size-and-foretibia-length"/>
    <w:p>
      <w:pPr>
        <w:pStyle w:val="Heading3"/>
      </w:pPr>
      <w:r>
        <w:t xml:space="preserve">1.3.1 Ear size and foretibia length</w:t>
      </w:r>
    </w:p>
    <w:p>
      <w:pPr>
        <w:pStyle w:val="FirstParagraph"/>
      </w:pPr>
      <w:r>
        <w:t xml:space="preserve">The ear–foretibia slope did not differ among groups (F(3, 301) = 1.33, p = 0.264). Across groups, linearized ear size increased with foretibia length with an allometric slope of 0.795 (95% CI 0.673–0.917). The ear–pronotum interaction was also not supported (F(3, 304) = 0.86, p = 0.464). After accounting for pronotum size and foretibia length, Eighth-instar males were 5.0% smaller in area than females (Holm-adjusted p = 0.013); Ninth-instar males were 5.7% smaller in area than females (Holm-adjusted p = 0.005); Tenth-instar males were 5.7% smaller in area than females (Holm-adjusted p = 0.012).</w:t>
      </w:r>
    </w:p>
    <w:tbl>
      <w:tblPr>
        <w:tblStyle w:val="Table"/>
        <w:tblW w:type="pct" w:w="5000"/>
        <w:tblLayout w:type="fixed"/>
        <w:tblLook w:firstRow="0" w:lastRow="0" w:firstColumn="0" w:lastColumn="0" w:noHBand="0" w:noVBand="0" w:val="0000"/>
      </w:tblPr>
      <w:tblGrid>
        <w:gridCol w:w="7920"/>
      </w:tblGrid>
      <w:tr>
        <w:tc>
          <w:tcPr/>
          <w:bookmarkStart w:id="37" w:name="tbl-ear-means"/>
          <w:p>
            <w:pPr>
              <w:jc w:val="center"/>
            </w:pPr>
            <w:pPr>
              <w:jc w:val="left"/>
              <w:spacing w:before="200"/>
              <w:pStyle w:val="ImageCaption"/>
            </w:pPr>
            <w:r>
              <w:t xml:space="preserve">Table 5: Adjusted predicted ear area at a pronotum length of 7.2 mm and mean foretibia length.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Group</w:t>
                  </w:r>
                </w:p>
              </w:tc>
              <w:tc>
                <w:tcPr/>
                <w:p>
                  <w:pPr>
                    <w:pStyle w:val="Compact"/>
                    <w:jc w:val="right"/>
                    <w:jc w:val="center"/>
                  </w:pPr>
                  <w:r>
                    <w:t xml:space="preserve">Predicted ear area</w:t>
                  </w:r>
                </w:p>
              </w:tc>
              <w:tc>
                <w:tcPr/>
                <w:p>
                  <w:pPr>
                    <w:pStyle w:val="Compact"/>
                    <w:jc w:val="right"/>
                    <w:jc w:val="center"/>
                  </w:pPr>
                  <w:r>
                    <w:t xml:space="preserve">Lower 95% CI</w:t>
                  </w:r>
                </w:p>
              </w:tc>
              <w:tc>
                <w:tcPr/>
                <w:p>
                  <w:pPr>
                    <w:pStyle w:val="Compact"/>
                    <w:jc w:val="right"/>
                    <w:jc w:val="center"/>
                  </w:pPr>
                  <w:r>
                    <w:t xml:space="preserve">Upper 95% CI</w:t>
                  </w:r>
                </w:p>
              </w:tc>
            </w:tr>
            <w:tr>
              <w:tc>
                <w:tcPr/>
                <w:p>
                  <w:pPr>
                    <w:pStyle w:val="Compact"/>
                    <w:jc w:val="left"/>
                    <w:jc w:val="center"/>
                  </w:pPr>
                  <w:r>
                    <w:t xml:space="preserve">Female</w:t>
                  </w:r>
                </w:p>
              </w:tc>
              <w:tc>
                <w:tcPr/>
                <w:p>
                  <w:pPr>
                    <w:pStyle w:val="Compact"/>
                    <w:jc w:val="right"/>
                    <w:jc w:val="center"/>
                  </w:pPr>
                  <w:r>
                    <w:t xml:space="preserve">3.032</w:t>
                  </w:r>
                </w:p>
              </w:tc>
              <w:tc>
                <w:tcPr/>
                <w:p>
                  <w:pPr>
                    <w:pStyle w:val="Compact"/>
                    <w:jc w:val="right"/>
                    <w:jc w:val="center"/>
                  </w:pPr>
                  <w:r>
                    <w:t xml:space="preserve">2.967</w:t>
                  </w:r>
                </w:p>
              </w:tc>
              <w:tc>
                <w:tcPr/>
                <w:p>
                  <w:pPr>
                    <w:pStyle w:val="Compact"/>
                    <w:jc w:val="right"/>
                    <w:jc w:val="center"/>
                  </w:pPr>
                  <w:r>
                    <w:t xml:space="preserve">3.098</w:t>
                  </w:r>
                </w:p>
              </w:tc>
            </w:tr>
            <w:tr>
              <w:tc>
                <w:tcPr/>
                <w:p>
                  <w:pPr>
                    <w:pStyle w:val="Compact"/>
                    <w:jc w:val="left"/>
                    <w:jc w:val="center"/>
                  </w:pPr>
                  <w:r>
                    <w:t xml:space="preserve">Eighth</w:t>
                  </w:r>
                </w:p>
              </w:tc>
              <w:tc>
                <w:tcPr/>
                <w:p>
                  <w:pPr>
                    <w:pStyle w:val="Compact"/>
                    <w:jc w:val="right"/>
                    <w:jc w:val="center"/>
                  </w:pPr>
                  <w:r>
                    <w:t xml:space="preserve">2.881</w:t>
                  </w:r>
                </w:p>
              </w:tc>
              <w:tc>
                <w:tcPr/>
                <w:p>
                  <w:pPr>
                    <w:pStyle w:val="Compact"/>
                    <w:jc w:val="right"/>
                    <w:jc w:val="center"/>
                  </w:pPr>
                  <w:r>
                    <w:t xml:space="preserve">2.807</w:t>
                  </w:r>
                </w:p>
              </w:tc>
              <w:tc>
                <w:tcPr/>
                <w:p>
                  <w:pPr>
                    <w:pStyle w:val="Compact"/>
                    <w:jc w:val="right"/>
                    <w:jc w:val="center"/>
                  </w:pPr>
                  <w:r>
                    <w:t xml:space="preserve">2.956</w:t>
                  </w:r>
                </w:p>
              </w:tc>
            </w:tr>
            <w:tr>
              <w:tc>
                <w:tcPr/>
                <w:p>
                  <w:pPr>
                    <w:pStyle w:val="Compact"/>
                    <w:jc w:val="left"/>
                    <w:jc w:val="center"/>
                  </w:pPr>
                  <w:r>
                    <w:t xml:space="preserve">Ninth</w:t>
                  </w:r>
                </w:p>
              </w:tc>
              <w:tc>
                <w:tcPr/>
                <w:p>
                  <w:pPr>
                    <w:pStyle w:val="Compact"/>
                    <w:jc w:val="right"/>
                    <w:jc w:val="center"/>
                  </w:pPr>
                  <w:r>
                    <w:t xml:space="preserve">2.858</w:t>
                  </w:r>
                </w:p>
              </w:tc>
              <w:tc>
                <w:tcPr/>
                <w:p>
                  <w:pPr>
                    <w:pStyle w:val="Compact"/>
                    <w:jc w:val="right"/>
                    <w:jc w:val="center"/>
                  </w:pPr>
                  <w:r>
                    <w:t xml:space="preserve">2.798</w:t>
                  </w:r>
                </w:p>
              </w:tc>
              <w:tc>
                <w:tcPr/>
                <w:p>
                  <w:pPr>
                    <w:pStyle w:val="Compact"/>
                    <w:jc w:val="right"/>
                    <w:jc w:val="center"/>
                  </w:pPr>
                  <w:r>
                    <w:t xml:space="preserve">2.919</w:t>
                  </w:r>
                </w:p>
              </w:tc>
            </w:tr>
            <w:tr>
              <w:tc>
                <w:tcPr/>
                <w:p>
                  <w:pPr>
                    <w:pStyle w:val="Compact"/>
                    <w:jc w:val="left"/>
                    <w:jc w:val="center"/>
                  </w:pPr>
                  <w:r>
                    <w:t xml:space="preserve">Tenth</w:t>
                  </w:r>
                </w:p>
              </w:tc>
              <w:tc>
                <w:tcPr/>
                <w:p>
                  <w:pPr>
                    <w:pStyle w:val="Compact"/>
                    <w:jc w:val="right"/>
                    <w:jc w:val="center"/>
                  </w:pPr>
                  <w:r>
                    <w:t xml:space="preserve">2.860</w:t>
                  </w:r>
                </w:p>
              </w:tc>
              <w:tc>
                <w:tcPr/>
                <w:p>
                  <w:pPr>
                    <w:pStyle w:val="Compact"/>
                    <w:jc w:val="right"/>
                    <w:jc w:val="center"/>
                  </w:pPr>
                  <w:r>
                    <w:t xml:space="preserve">2.771</w:t>
                  </w:r>
                </w:p>
              </w:tc>
              <w:tc>
                <w:tcPr/>
                <w:p>
                  <w:pPr>
                    <w:pStyle w:val="Compact"/>
                    <w:jc w:val="right"/>
                    <w:jc w:val="center"/>
                  </w:pPr>
                  <w:r>
                    <w:t xml:space="preserve">2.952</w:t>
                  </w:r>
                </w:p>
              </w:tc>
            </w:tr>
          </w:tbl>
          <w:bookmarkEnd w:id="37"/>
          <w:p/>
        </w:tc>
      </w:tr>
    </w:tbl>
    <w:tbl>
      <w:tblPr>
        <w:tblStyle w:val="Table"/>
        <w:tblW w:type="pct" w:w="5000"/>
        <w:tblLayout w:type="fixed"/>
        <w:tblLook w:firstRow="0" w:lastRow="0" w:firstColumn="0" w:lastColumn="0" w:noHBand="0" w:noVBand="0" w:val="0000"/>
      </w:tblPr>
      <w:tblGrid>
        <w:gridCol w:w="7920"/>
      </w:tblGrid>
      <w:tr>
        <w:tc>
          <w:tcPr/>
          <w:bookmarkStart w:id="41" w:name="fig-ear"/>
          <w:p>
            <w:pPr>
              <w:pStyle w:val="Compact"/>
              <w:jc w:val="center"/>
            </w:pPr>
            <w:r>
              <w:drawing>
                <wp:inline>
                  <wp:extent cx="4775200" cy="3410857"/>
                  <wp:effectExtent b="0" l="0" r="0" t="0"/>
                  <wp:docPr descr="" title="" id="39" name="Picture"/>
                  <a:graphic>
                    <a:graphicData uri="http://schemas.openxmlformats.org/drawingml/2006/picture">
                      <pic:pic>
                        <pic:nvPicPr>
                          <pic:cNvPr descr="analysis_outputs/weta_trait_analysis/figures/ear_foretibia_relationship.png" id="40" name="Picture"/>
                          <pic:cNvPicPr>
                            <a:picLocks noChangeArrowheads="1" noChangeAspect="1"/>
                          </pic:cNvPicPr>
                        </pic:nvPicPr>
                        <pic:blipFill>
                          <a:blip r:embed="rId38"/>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linearized ear size and foretibia length in females and the three male developmental groups.</w:t>
            </w:r>
          </w:p>
          <w:bookmarkEnd w:id="41"/>
        </w:tc>
      </w:tr>
    </w:tbl>
    <w:bookmarkEnd w:id="42"/>
    <w:bookmarkStart w:id="48" w:name="eye-length-and-head-size"/>
    <w:p>
      <w:pPr>
        <w:pStyle w:val="Heading3"/>
      </w:pPr>
      <w:r>
        <w:t xml:space="preserve">1.3.2 Eye length and head size</w:t>
      </w:r>
    </w:p>
    <w:p>
      <w:pPr>
        <w:pStyle w:val="FirstParagraph"/>
      </w:pPr>
      <w:r>
        <w:t xml:space="preserve">The eye–head-size slope did not differ among groups (F(3, 301) = 1.97, p = 0.118). Across groups, eye length scaled with head size with an allometric slope of 0.575 (95% CI 0.469–0.682). The eye–pronotum interaction was not supported (F(3, 304) = 1.03, p = 0.380). At a pronotum length of 7.2 mm and mean head size, Eighth-instar males were 10.8% shorter than females (Holm-adjusted p &lt; 0.001); Ninth-instar males were 13.4% shorter than females (Holm-adjusted p &lt; 0.001); Tenth-instar males were 12.5% shorter than females (Holm-adjusted p &lt; 0.001).</w:t>
      </w:r>
    </w:p>
    <w:tbl>
      <w:tblPr>
        <w:tblStyle w:val="Table"/>
        <w:tblW w:type="pct" w:w="5000"/>
        <w:tblLayout w:type="fixed"/>
        <w:tblLook w:firstRow="0" w:lastRow="0" w:firstColumn="0" w:lastColumn="0" w:noHBand="0" w:noVBand="0" w:val="0000"/>
      </w:tblPr>
      <w:tblGrid>
        <w:gridCol w:w="7920"/>
      </w:tblGrid>
      <w:tr>
        <w:tc>
          <w:tcPr/>
          <w:bookmarkStart w:id="43" w:name="tbl-eye-means"/>
          <w:p>
            <w:pPr>
              <w:jc w:val="center"/>
            </w:pPr>
            <w:pPr>
              <w:jc w:val="left"/>
              <w:spacing w:before="200"/>
              <w:pStyle w:val="ImageCaption"/>
            </w:pPr>
            <w:r>
              <w:t xml:space="preserve">Table 6: Adjusted predicted eye length at a pronotum length of 7.2 mm and mean head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Group</w:t>
                  </w:r>
                </w:p>
              </w:tc>
              <w:tc>
                <w:tcPr/>
                <w:p>
                  <w:pPr>
                    <w:pStyle w:val="Compact"/>
                    <w:jc w:val="right"/>
                    <w:jc w:val="center"/>
                  </w:pPr>
                  <w:r>
                    <w:t xml:space="preserve">Predicted eye length</w:t>
                  </w:r>
                </w:p>
              </w:tc>
              <w:tc>
                <w:tcPr/>
                <w:p>
                  <w:pPr>
                    <w:pStyle w:val="Compact"/>
                    <w:jc w:val="right"/>
                    <w:jc w:val="center"/>
                  </w:pPr>
                  <w:r>
                    <w:t xml:space="preserve">Lower 95% CI</w:t>
                  </w:r>
                </w:p>
              </w:tc>
              <w:tc>
                <w:tcPr/>
                <w:p>
                  <w:pPr>
                    <w:pStyle w:val="Compact"/>
                    <w:jc w:val="right"/>
                    <w:jc w:val="center"/>
                  </w:pPr>
                  <w:r>
                    <w:t xml:space="preserve">Upper 95% CI</w:t>
                  </w:r>
                </w:p>
              </w:tc>
            </w:tr>
            <w:tr>
              <w:tc>
                <w:tcPr/>
                <w:p>
                  <w:pPr>
                    <w:pStyle w:val="Compact"/>
                    <w:jc w:val="left"/>
                    <w:jc w:val="center"/>
                  </w:pPr>
                  <w:r>
                    <w:t xml:space="preserve">Female</w:t>
                  </w:r>
                </w:p>
              </w:tc>
              <w:tc>
                <w:tcPr/>
                <w:p>
                  <w:pPr>
                    <w:pStyle w:val="Compact"/>
                    <w:jc w:val="right"/>
                    <w:jc w:val="center"/>
                  </w:pPr>
                  <w:r>
                    <w:t xml:space="preserve">2.920</w:t>
                  </w:r>
                </w:p>
              </w:tc>
              <w:tc>
                <w:tcPr/>
                <w:p>
                  <w:pPr>
                    <w:pStyle w:val="Compact"/>
                    <w:jc w:val="right"/>
                    <w:jc w:val="center"/>
                  </w:pPr>
                  <w:r>
                    <w:t xml:space="preserve">2.826</w:t>
                  </w:r>
                </w:p>
              </w:tc>
              <w:tc>
                <w:tcPr/>
                <w:p>
                  <w:pPr>
                    <w:pStyle w:val="Compact"/>
                    <w:jc w:val="right"/>
                    <w:jc w:val="center"/>
                  </w:pPr>
                  <w:r>
                    <w:t xml:space="preserve">3.018</w:t>
                  </w:r>
                </w:p>
              </w:tc>
            </w:tr>
            <w:tr>
              <w:tc>
                <w:tcPr/>
                <w:p>
                  <w:pPr>
                    <w:pStyle w:val="Compact"/>
                    <w:jc w:val="left"/>
                    <w:jc w:val="center"/>
                  </w:pPr>
                  <w:r>
                    <w:t xml:space="preserve">Eighth</w:t>
                  </w:r>
                </w:p>
              </w:tc>
              <w:tc>
                <w:tcPr/>
                <w:p>
                  <w:pPr>
                    <w:pStyle w:val="Compact"/>
                    <w:jc w:val="right"/>
                    <w:jc w:val="center"/>
                  </w:pPr>
                  <w:r>
                    <w:t xml:space="preserve">2.606</w:t>
                  </w:r>
                </w:p>
              </w:tc>
              <w:tc>
                <w:tcPr/>
                <w:p>
                  <w:pPr>
                    <w:pStyle w:val="Compact"/>
                    <w:jc w:val="right"/>
                    <w:jc w:val="center"/>
                  </w:pPr>
                  <w:r>
                    <w:t xml:space="preserve">2.560</w:t>
                  </w:r>
                </w:p>
              </w:tc>
              <w:tc>
                <w:tcPr/>
                <w:p>
                  <w:pPr>
                    <w:pStyle w:val="Compact"/>
                    <w:jc w:val="right"/>
                    <w:jc w:val="center"/>
                  </w:pPr>
                  <w:r>
                    <w:t xml:space="preserve">2.653</w:t>
                  </w:r>
                </w:p>
              </w:tc>
            </w:tr>
            <w:tr>
              <w:tc>
                <w:tcPr/>
                <w:p>
                  <w:pPr>
                    <w:pStyle w:val="Compact"/>
                    <w:jc w:val="left"/>
                    <w:jc w:val="center"/>
                  </w:pPr>
                  <w:r>
                    <w:t xml:space="preserve">Ninth</w:t>
                  </w:r>
                </w:p>
              </w:tc>
              <w:tc>
                <w:tcPr/>
                <w:p>
                  <w:pPr>
                    <w:pStyle w:val="Compact"/>
                    <w:jc w:val="right"/>
                    <w:jc w:val="center"/>
                  </w:pPr>
                  <w:r>
                    <w:t xml:space="preserve">2.528</w:t>
                  </w:r>
                </w:p>
              </w:tc>
              <w:tc>
                <w:tcPr/>
                <w:p>
                  <w:pPr>
                    <w:pStyle w:val="Compact"/>
                    <w:jc w:val="right"/>
                    <w:jc w:val="center"/>
                  </w:pPr>
                  <w:r>
                    <w:t xml:space="preserve">2.463</w:t>
                  </w:r>
                </w:p>
              </w:tc>
              <w:tc>
                <w:tcPr/>
                <w:p>
                  <w:pPr>
                    <w:pStyle w:val="Compact"/>
                    <w:jc w:val="right"/>
                    <w:jc w:val="center"/>
                  </w:pPr>
                  <w:r>
                    <w:t xml:space="preserve">2.596</w:t>
                  </w:r>
                </w:p>
              </w:tc>
            </w:tr>
            <w:tr>
              <w:tc>
                <w:tcPr/>
                <w:p>
                  <w:pPr>
                    <w:pStyle w:val="Compact"/>
                    <w:jc w:val="left"/>
                    <w:jc w:val="center"/>
                  </w:pPr>
                  <w:r>
                    <w:t xml:space="preserve">Tenth</w:t>
                  </w:r>
                </w:p>
              </w:tc>
              <w:tc>
                <w:tcPr/>
                <w:p>
                  <w:pPr>
                    <w:pStyle w:val="Compact"/>
                    <w:jc w:val="right"/>
                    <w:jc w:val="center"/>
                  </w:pPr>
                  <w:r>
                    <w:t xml:space="preserve">2.555</w:t>
                  </w:r>
                </w:p>
              </w:tc>
              <w:tc>
                <w:tcPr/>
                <w:p>
                  <w:pPr>
                    <w:pStyle w:val="Compact"/>
                    <w:jc w:val="right"/>
                    <w:jc w:val="center"/>
                  </w:pPr>
                  <w:r>
                    <w:t xml:space="preserve">2.458</w:t>
                  </w:r>
                </w:p>
              </w:tc>
              <w:tc>
                <w:tcPr/>
                <w:p>
                  <w:pPr>
                    <w:pStyle w:val="Compact"/>
                    <w:jc w:val="right"/>
                    <w:jc w:val="center"/>
                  </w:pPr>
                  <w:r>
                    <w:t xml:space="preserve">2.656</w:t>
                  </w:r>
                </w:p>
              </w:tc>
            </w:tr>
          </w:tbl>
          <w:bookmarkEnd w:id="43"/>
          <w:p/>
        </w:tc>
      </w:tr>
    </w:tbl>
    <w:tbl>
      <w:tblPr>
        <w:tblStyle w:val="Table"/>
        <w:tblW w:type="pct" w:w="5000"/>
        <w:tblLayout w:type="fixed"/>
        <w:tblLook w:firstRow="0" w:lastRow="0" w:firstColumn="0" w:lastColumn="0" w:noHBand="0" w:noVBand="0" w:val="0000"/>
      </w:tblPr>
      <w:tblGrid>
        <w:gridCol w:w="7920"/>
      </w:tblGrid>
      <w:tr>
        <w:tc>
          <w:tcPr/>
          <w:bookmarkStart w:id="47" w:name="fig-eye"/>
          <w:p>
            <w:pPr>
              <w:pStyle w:val="Compact"/>
              <w:jc w:val="center"/>
            </w:pPr>
            <w:r>
              <w:drawing>
                <wp:inline>
                  <wp:extent cx="4775200" cy="3410857"/>
                  <wp:effectExtent b="0" l="0" r="0" t="0"/>
                  <wp:docPr descr="" title="" id="45" name="Picture"/>
                  <a:graphic>
                    <a:graphicData uri="http://schemas.openxmlformats.org/drawingml/2006/picture">
                      <pic:pic>
                        <pic:nvPicPr>
                          <pic:cNvPr descr="analysis_outputs/weta_trait_analysis/figures/eye_head_relationship.png" id="46" name="Picture"/>
                          <pic:cNvPicPr>
                            <a:picLocks noChangeArrowheads="1" noChangeAspect="1"/>
                          </pic:cNvPicPr>
                        </pic:nvPicPr>
                        <pic:blipFill>
                          <a:blip r:embed="rId44"/>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Relationship between eye length and composite head size in females and the three male developmental groups.</w:t>
            </w:r>
          </w:p>
          <w:bookmarkEnd w:id="47"/>
        </w:tc>
      </w:tr>
    </w:tbl>
    <w:bookmarkEnd w:id="48"/>
    <w:bookmarkEnd w:id="49"/>
    <w:bookmarkStart w:id="50" w:name="model-diagnostics"/>
    <w:p>
      <w:pPr>
        <w:pStyle w:val="Heading2"/>
      </w:pPr>
      <w:r>
        <w:t xml:space="preserve">1.4 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the underlying measurements had been checked. The log–log linear models and the repeated-trait mixed model were therefore retained for inference.</w:t>
      </w:r>
    </w:p>
    <w:bookmarkEnd w:id="50"/>
    <w:bookmarkEnd w:id="51"/>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Wellington tree wētā morphological allocation</dc:title>
  <dc:creator/>
  <cp:keywords/>
  <dcterms:created xsi:type="dcterms:W3CDTF">2026-07-10T21:25:51Z</dcterms:created>
  <dcterms:modified xsi:type="dcterms:W3CDTF">2026-07-10T21:25:51Z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rams">
    <vt:lpwstr/>
  </property>
  <property fmtid="{D5CDD505-2E9C-101B-9397-08002B2CF9AE}" pid="10" name="subtitle">
    <vt:lpwstr>Draft Results section</vt:lpwstr>
  </property>
  <property fmtid="{D5CDD505-2E9C-101B-9397-08002B2CF9AE}" pid="11" name="toc-title">
    <vt:lpwstr>Table of contents</vt:lpwstr>
  </property>
</Properties>
</file>