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2.png" ContentType="image/png"/>
  <Override PartName="/word/media/rId36.png" ContentType="image/png"/>
  <Override PartName="/word/media/rId3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Subtitle"/>
      </w:pPr>
      <w:r>
        <w:t xml:space="preserve">Coordinated locomotory and sensory divergence across alternative mating strategies in Wellington tree wētā</w:t>
      </w:r>
    </w:p>
    <w:p>
      <w:pPr>
        <w:pStyle w:val="Author"/>
      </w:pPr>
      <w:r>
        <w:t xml:space="preserve">Clint D. Kelly</w:t>
      </w:r>
    </w:p>
    <w:p>
      <w:pPr>
        <w:pStyle w:val="FirstParagraph"/>
      </w:pPr>
      <w:r>
        <w:rPr>
          <w:i/>
          <w:iCs/>
        </w:rPr>
        <w:t xml:space="preserve">Département des Sciences biologiques, Université du Québec à Montréal, Montréal, Canada</w:t>
      </w:r>
    </w:p>
    <w:p>
      <w:pPr>
        <w:pStyle w:val="BodyText"/>
      </w:pPr>
      <w:r>
        <w:rPr>
          <w:i/>
          <w:iCs/>
        </w:rPr>
        <w:t xml:space="preserve">Correspondence: kelly.clint@uqam.ca; ORCID: 0000-0002-0693-7211</w:t>
      </w:r>
    </w:p>
    <w:bookmarkStart w:id="20" w:name="overview"/>
    <w:p>
      <w:pPr>
        <w:pStyle w:val="Heading1"/>
      </w:pPr>
      <w:r>
        <w:t xml:space="preserve">Overview</w:t>
      </w:r>
    </w:p>
    <w:p>
      <w:pPr>
        <w:pStyle w:val="FirstParagraph"/>
      </w:pPr>
      <w:r>
        <w:t xml:space="preserve">This supplement contains supporting, sensitivity and diagnostic analyses for the accompanying manuscript. The main text is restricted to analyses that directly test the dimensionality of group-mean divergence, locomotory allocation, sensory divergence, within-group matrix structure, and prespecified equivalence contrasts. Analyses below evaluate measurement reliability, the robustness of multivariate conclusions to trait definition and morph classification, pairwise matrix comparisons, unequal group sizes, the repeated-leg covariance specification, secondary weapon–trait relationships, sample composition and cross-analysis multiplicity.</w:t>
      </w:r>
    </w:p>
    <w:p>
      <w:pPr>
        <w:pStyle w:val="BodyText"/>
      </w:pPr>
      <w:r>
        <w:t xml:space="preserve">Residual-index models, separate segment-level decompositions and extensive group-specific slope searches are retained in the reproducibility archive but are not promoted as inferential evidence. They either duplicate a one-stage model reported here or do not materially change the biological conclusions.</w:t>
      </w:r>
    </w:p>
    <w:bookmarkEnd w:id="20"/>
    <w:bookmarkStart w:id="27" w:name="supplementary-methods"/>
    <w:p>
      <w:pPr>
        <w:pStyle w:val="Heading1"/>
      </w:pPr>
      <w:r>
        <w:t xml:space="preserve">Supplementary methods</w:t>
      </w:r>
    </w:p>
    <w:bookmarkStart w:id="21" w:name="measurement-reliability"/>
    <w:p>
      <w:pPr>
        <w:pStyle w:val="Heading2"/>
      </w:pPr>
      <w:r>
        <w:t xml:space="preserve">Measurement reliability</w:t>
      </w:r>
    </w:p>
    <w:p>
      <w:pPr>
        <w:pStyle w:val="FirstParagraph"/>
      </w:pPr>
      <w:r>
        <w:t xml:space="preserve">Forty-eight specimens were measured on three occasions. Repeatability was estimated for pooled, morph-adjusted and morph-plus-round models. Relative technical error of measurement, absolute-agreement ICC(A,1), round-pair bias and measurement-order trends were also calculated. The order analyses were treated as diagnostics; their minimum Benjamini–Hochberg-adjusted p-values were 0.524 for signed drift and 0.867 for absolute-error drift.</w:t>
      </w:r>
    </w:p>
    <w:bookmarkEnd w:id="21"/>
    <w:bookmarkStart w:id="22" w:name="multivariate-sensitivity-analyses"/>
    <w:p>
      <w:pPr>
        <w:pStyle w:val="Heading2"/>
      </w:pPr>
      <w:r>
        <w:t xml:space="preserve">Multivariate sensitivity analyses</w:t>
      </w:r>
    </w:p>
    <w:p>
      <w:pPr>
        <w:pStyle w:val="FirstParagraph"/>
      </w:pPr>
      <w:r>
        <w:t xml:space="preserve">The primary female-referenced contrast-vector and PCA analyses excluded composite head size because head length contributed to male morph assignment. Sensitivity analyses restored head size, repeated the rank-one decomposition on unstandardized log traits, and repeated the five-trait PCA after excluding males whose archived labels disagreed with the published 2010 head-length thresholds. All randomization analyses used 9,999 permutations.</w:t>
      </w:r>
    </w:p>
    <w:bookmarkEnd w:id="22"/>
    <w:bookmarkStart w:id="23" w:name="X039846d4ad82b3532b4290dbdfc1c37bf9f5be3"/>
    <w:p>
      <w:pPr>
        <w:pStyle w:val="Heading2"/>
      </w:pPr>
      <w:r>
        <w:t xml:space="preserve">Matrix comparisons and unequal sample sizes</w:t>
      </w:r>
    </w:p>
    <w:p>
      <w:pPr>
        <w:pStyle w:val="FirstParagraph"/>
      </w:pPr>
      <w:r>
        <w:t xml:space="preserve">Within-group covariance and correlation matrices for the five non-head traits were compared using omnibus and pairwise Frobenius-distance randomization tests. Pairwise p-values were adjusted by both Benjamini–Hochberg and Holm procedures. Matrix-element correlations and random-skewers similarities were used as descriptive orientation measures. To evaluate unequal group sizes, each group was repeatedly rarefied to 38 specimens, the size of the tenth-instar male group.</w:t>
      </w:r>
    </w:p>
    <w:bookmarkEnd w:id="23"/>
    <w:bookmarkStart w:id="24" w:name="repeated-leg-covariance-structure"/>
    <w:p>
      <w:pPr>
        <w:pStyle w:val="Heading2"/>
      </w:pPr>
      <w:r>
        <w:t xml:space="preserve">Repeated-leg covariance structure</w:t>
      </w:r>
    </w:p>
    <w:p>
      <w:pPr>
        <w:pStyle w:val="FirstParagraph"/>
      </w:pPr>
      <w:r>
        <w:t xml:space="preserve">The focal repeated-leg model estimated separate residual variances for fore-, mid- and hindlegs and freely estimated the three within-individual residual correlations. It was compared with compound-symmetry and heterogeneous compound-symmetry structures using fits with identical fixed effects. A separate individual-by-leg random intercept is not identifiable because each individual-by-leg cell contains one observation.</w:t>
      </w:r>
    </w:p>
    <w:bookmarkEnd w:id="24"/>
    <w:bookmarkStart w:id="25" w:name="Xf573166f9da9c0f4cb9e25bc742553f201ea76d"/>
    <w:p>
      <w:pPr>
        <w:pStyle w:val="Heading2"/>
      </w:pPr>
      <w:r>
        <w:t xml:space="preserve">Secondary integration, equivalence and sampling checks</w:t>
      </w:r>
    </w:p>
    <w:p>
      <w:pPr>
        <w:pStyle w:val="FirstParagraph"/>
      </w:pPr>
      <w:r>
        <w:t xml:space="preserve">Weapon–leg relationships were estimated in one stage from raw log composite head size while controlling for pronotum length, group and leg identity. Weapon–ear slopes were likewise estimated in one stage and evaluated against a prespecified standardized near-zero region of −0.20 to 0.20. Sensory pairwise comparisons were Holm-adjusted within each six-comparison trait family. Morph-composition χ² tests compared the analysed males with two published empirical compositions; they diagnose compositional mismatch but cannot identify its cause because collection microhabitat and gallery-search effort were not retained.</w:t>
      </w:r>
    </w:p>
    <w:bookmarkEnd w:id="25"/>
    <w:bookmarkStart w:id="26" w:name="cross-analysis-multiplicity-audit"/>
    <w:p>
      <w:pPr>
        <w:pStyle w:val="Heading2"/>
      </w:pPr>
      <w:r>
        <w:t xml:space="preserve">Cross-analysis multiplicity audit</w:t>
      </w:r>
    </w:p>
    <w:p>
      <w:pPr>
        <w:pStyle w:val="FirstParagraph"/>
      </w:pPr>
      <w:r>
        <w:t xml:space="preserve">The manuscript’s prespecified Holm families remain the inferential corrections for planned contrasts. As a separate sensitivity analysis, ten focal omnibus p-values were adjusted together using Benjamini–Hochberg and Holm procedures. This deliberately conservative audit assesses whether conclusions depend on treating related model families separately.</w:t>
      </w:r>
    </w:p>
    <w:bookmarkEnd w:id="26"/>
    <w:bookmarkEnd w:id="27"/>
    <w:bookmarkStart w:id="34" w:name="supplementary-results"/>
    <w:p>
      <w:pPr>
        <w:pStyle w:val="Heading1"/>
      </w:pPr>
      <w:r>
        <w:t xml:space="preserve">Supplementary results</w:t>
      </w:r>
    </w:p>
    <w:bookmarkStart w:id="28" w:name="Xc189616ccd0ee4889cff4577a44c67ac0529479"/>
    <w:p>
      <w:pPr>
        <w:pStyle w:val="Heading2"/>
      </w:pPr>
      <w:r>
        <w:t xml:space="preserve">Reliability and measurement-session effects</w:t>
      </w:r>
    </w:p>
    <w:p>
      <w:pPr>
        <w:pStyle w:val="FirstParagraph"/>
      </w:pPr>
      <w:r>
        <w:t xml:space="preserve">All traits were highly repeatable, and the conclusions were unchanged after adjustment for morph and measurement round (Table S1). Round effects were detectable for several traits, but their magnitude was small relative to among-individual variation. No evidence of progressive signed or absolute-error drift was detected within remeasurement sessions.</w:t>
      </w:r>
    </w:p>
    <w:bookmarkEnd w:id="28"/>
    <w:bookmarkStart w:id="29" w:name="directional-dimensionality"/>
    <w:p>
      <w:pPr>
        <w:pStyle w:val="Heading2"/>
      </w:pPr>
      <w:r>
        <w:t xml:space="preserve">Directional dimensionality</w:t>
      </w:r>
    </w:p>
    <w:p>
      <w:pPr>
        <w:pStyle w:val="FirstParagraph"/>
      </w:pPr>
      <w:r>
        <w:t xml:space="preserve">The primary rank-one model captured 88.8% of design-weighted group-effect variation, while the standardized six-trait and raw-log six-trait sensitivities captured 90.3% and 98.3%, respectively. In every case the residual component beyond rank one exceeded the randomization distribution (&lt;0.001; Table S7). Parallel analysis retained one component in the primary five-trait analysis, the six-trait sensitivity and the classification-exclusion sensitivity (Supplementary Figure S2). Thus the data consistently show one dominant dimension together with a smaller, statistically supported secondary direction in the adjusted group means.</w:t>
      </w:r>
    </w:p>
    <w:bookmarkEnd w:id="29"/>
    <w:bookmarkStart w:id="30" w:name="matrix-structure"/>
    <w:p>
      <w:pPr>
        <w:pStyle w:val="Heading2"/>
      </w:pPr>
      <w:r>
        <w:t xml:space="preserve">Matrix structure</w:t>
      </w:r>
    </w:p>
    <w:p>
      <w:pPr>
        <w:pStyle w:val="FirstParagraph"/>
      </w:pPr>
      <w:r>
        <w:t xml:space="preserve">The primary five-trait omnibus tests detected neither a covariance-matrix difference (0.398) nor a correlation-matrix difference (0.848; Supplementary Figure S1). The six-trait sensitivity detected a covariance-magnitude difference (0.042), but not a correlation-matrix difference (0.581). No five-trait pairwise matrix comparison survived Holm adjustment (Table S8). Matrix-element correlations, random-skewers similarities and rarefaction summaries are reported in Table S9 rather than interpreted as independent hypothesis tests.</w:t>
      </w:r>
    </w:p>
    <w:bookmarkEnd w:id="30"/>
    <w:bookmarkStart w:id="31" w:name="X5ec1f042bdd5900f0dbc003bdc44a265a527f96"/>
    <w:p>
      <w:pPr>
        <w:pStyle w:val="Heading2"/>
      </w:pPr>
      <w:r>
        <w:t xml:space="preserve">Repeated-leg covariance and secondary analyses</w:t>
      </w:r>
    </w:p>
    <w:p>
      <w:pPr>
        <w:pStyle w:val="FirstParagraph"/>
      </w:pPr>
      <w:r>
        <w:t xml:space="preserve">The unstructured repeated-leg covariance was strongly preferred to heterogeneous compound symmetry (likelihood-ratio statistic = 74.50, &lt;0.001; Table S10). Pairwise residual correlations ranged from 0.690 to 0.871. The one-stage weapon–leg slopes were positive in 11 of 12 group-by-leg combinations, but planned differences among slopes were imprecise (Tables S3–S4). Weapon–ear slopes were not equivalent to the prespecified near-zero region in any group (Table S5).</w:t>
      </w:r>
    </w:p>
    <w:bookmarkEnd w:id="31"/>
    <w:bookmarkStart w:id="32" w:name="classification-and-sample-composition"/>
    <w:p>
      <w:pPr>
        <w:pStyle w:val="Heading2"/>
      </w:pPr>
      <w:r>
        <w:t xml:space="preserve">Classification and sample composition</w:t>
      </w:r>
    </w:p>
    <w:p>
      <w:pPr>
        <w:pStyle w:val="FirstParagraph"/>
      </w:pPr>
      <w:r>
        <w:t xml:space="preserve">The archived file contained 195 males. Applying the published 2010 thresholds changed 10 labels (5.1%). Excluding those specimens did not alter the head-adjusted eye-length omnibus conclusion (Table S11). Male composition differed from both published empirical references (Table S11), but the source of the difference cannot be resolved from the archive. The 7.2-mm reference pronotum used for adjusted comparisons fell within the observed range of every group (Supplementary Figure S3).</w:t>
      </w:r>
    </w:p>
    <w:bookmarkEnd w:id="32"/>
    <w:bookmarkStart w:id="33" w:name="cross-analysis-multiplicity"/>
    <w:p>
      <w:pPr>
        <w:pStyle w:val="Heading2"/>
      </w:pPr>
      <w:r>
        <w:t xml:space="preserve">Cross-analysis multiplicity</w:t>
      </w:r>
    </w:p>
    <w:p>
      <w:pPr>
        <w:pStyle w:val="FirstParagraph"/>
      </w:pPr>
      <w:r>
        <w:t xml:space="preserve">The group-by-leg allocation effect and the raw-head weapon–leg interaction remained supported in the conservative ten-test audit. The body-size-by-group-by-leg interaction was unsupported before and after adjustment (Table S12). These results reinforce the decision to treat detailed allometric-slope comparisons as exploratory.</w:t>
      </w:r>
    </w:p>
    <w:p>
      <w:r>
        <w:br w:type="page"/>
      </w:r>
    </w:p>
    <w:bookmarkEnd w:id="33"/>
    <w:bookmarkEnd w:id="34"/>
    <w:bookmarkStart w:id="35" w:name="supplementary-tables"/>
    <w:p>
      <w:pPr>
        <w:pStyle w:val="Heading1"/>
      </w:pPr>
      <w:r>
        <w:t xml:space="preserve">Supplementary tables</w:t>
      </w:r>
    </w:p>
    <w:p>
      <w:pPr>
        <w:pStyle w:val="FirstParagraph"/>
      </w:pPr>
      <w:r>
        <w:rPr>
          <w:b/>
          <w:bCs/>
        </w:rPr>
        <w:t xml:space="preserve">Supplementary Table S1. Repeatability, agreement and measurement-round diagnostics for 11 morphological traits measured three times.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Trait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Pooled</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Morph-adjusted</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Morph + round</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rTEM (%)</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ICC(A,1)</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Max. bias (%)</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Holm p</w:t>
            </w:r>
          </w:p>
        </w:tc>
      </w:tr>
      <w:tr>
        <w:trPr>
          <w:cantSplit/>
          <w:trHeight w:val="50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Pronotum length</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(0.9916–0.9968)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(0.9690–0.9887)</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(0.9900–0.9965)</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0.65</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Head length</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(0.9995–0.9998)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0.9960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(0.9931–0.9976)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0.9982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(0.9968–0.9989)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Head width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(0.9984–0.9994)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(0.9810–0.9932)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(0.9894–0.9962)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0.60</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0.9991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Forefemur length</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(0.9893–0.9962)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0.9794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(0.9642–0.9869)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0.9803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(0.9657–0.9876)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0.36</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0.136</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Foretibia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(0.9887–0.9960)</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(0.9687–0.9889)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0.9864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(0.9765–0.9917)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Midfemur length</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(0.9911–0.9967)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0.9824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(0.9707–0.9893)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0.9851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(0.9750–0.9909)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0.44</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Midtibia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(0.9930–0.9975)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(0.9790–0.9925)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(0.9788–0.9926)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0.705</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Hindfemur length</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(0.9924–0.9972)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0.9835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(0.9724–0.9898)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0.9847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(0.9742–0.9905)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0.39</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0.039</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Hindtibia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0.9868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(0.9773–0.9919)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0.9562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(0.9249–0.9733)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0.9596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(0.9302–0.9754)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0.9868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0.039</w:t>
            </w:r>
          </w:p>
        </w:tc>
      </w:tr>
      <w:tr>
        <w:trPr>
          <w:cantSplit/>
          <w:trHeight w:val="50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Ear area</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0.9763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(0.9610–0.9855)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0.9488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(0.9158–0.9691)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0.9565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(0.9276–0.9736)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0.9765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r>
      <w:tr>
        <w:trPr>
          <w:cantSplit/>
          <w:trHeight w:val="506" w:hRule="auto"/>
        </w:trPr>
        <w:tc>
          <w:tcPr>
            <w:tcBorders>
              <w:bottom w:val="single" w:sz="6" w:space="0" w:color="7F7F7F"/>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0.9906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(0.9841–0.9942)</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(0.9527–0.9826)</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0.9714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(0.9519–0.9824)</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1.13</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0.9906</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w:t>
            </w:r>
          </w:p>
        </w:tc>
        <w:tc>
          <w:tcPr>
            <w:tcBorders>
              <w:bottom w:val="single" w:sz="6" w:space="0" w:color="7F7F7F"/>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0.705</w:t>
            </w:r>
          </w:p>
        </w:tc>
      </w:tr>
    </w:tbl>
    <w:p>
      <w:pPr>
        <w:pStyle w:val="BodyText"/>
      </w:pPr>
      <w:r>
        <w:rPr>
          <w:i/>
          <w:iCs/>
        </w:rPr>
        <w:t xml:space="preserve">Note.</w:t>
      </w:r>
      <w:r>
        <w:t xml:space="preserve"> </w:t>
      </w:r>
      <w:r>
        <w:t xml:space="preserve">Repeatability values are individual-level ICCs with 95% bootstrap confidence intervals. rTEM is the within-individual standard deviation divided by the trait mean × 100. ICC(A,1) is the single-measure absolute-agreement coefficient. Maximum bias is the largest absolute round-pair mean difference as a percentage of the trait mean. Round-effect p-values are Holm-adjusted across traits.</w:t>
      </w:r>
    </w:p>
    <w:p>
      <w:r>
        <w:br w:type="page"/>
      </w:r>
    </w:p>
    <w:p>
      <w:pPr>
        <w:pStyle w:val="BodyText"/>
      </w:pPr>
      <w:r>
        <w:rPr>
          <w:b/>
          <w:bCs/>
        </w:rPr>
        <w:t xml:space="preserve">Supplementary Table S2. Pairwise descriptions of standardized female-referenced contrast vectors for the five nonclassification traits. D8, D9 and D10 denote the female-referenced eighth-, ninth- and tenth-instar male vectors. Angular tests and confidence intervals are supporting descriptions; the global rank-one test is the primary directional test.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Pair</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Angle (°)</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Lower 95%</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Upper 95%</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Angle Holm p</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Δ magnitude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Δ lower 95%</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Δ upper 95%</w:t>
            </w:r>
          </w:p>
        </w:tc>
      </w:tr>
      <w:tr>
        <w:trPr>
          <w:cantSplit/>
          <w:trHeight w:val="361"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D8–D9</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46.3</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25.0</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65.5</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1.35</w:t>
            </w:r>
          </w:p>
        </w:tc>
      </w:tr>
      <w:tr>
        <w:trPr>
          <w:cantSplit/>
          <w:trHeight w:val="361"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D8–D10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59.5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36.9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3.17</w:t>
            </w:r>
          </w:p>
        </w:tc>
      </w:tr>
      <w:tr>
        <w:trPr>
          <w:cantSplit/>
          <w:trHeight w:val="361" w:hRule="auto"/>
        </w:trPr>
        <w:tc>
          <w:tcPr>
            <w:tcBorders>
              <w:bottom w:val="single" w:sz="6" w:space="0" w:color="7F7F7F"/>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D9–D10</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13.6</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22.0</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0.003</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1.11</w:t>
            </w:r>
          </w:p>
        </w:tc>
        <w:tc>
          <w:tcPr>
            <w:tcBorders>
              <w:bottom w:val="single" w:sz="6" w:space="0" w:color="7F7F7F"/>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2.22</w:t>
            </w:r>
          </w:p>
        </w:tc>
      </w:tr>
    </w:tbl>
    <w:p>
      <w:r>
        <w:br w:type="page"/>
      </w:r>
    </w:p>
    <w:p>
      <w:pPr>
        <w:pStyle w:val="BodyText"/>
      </w:pPr>
      <w:r>
        <w:rPr>
          <w:b/>
          <w:bCs/>
        </w:rPr>
        <w:t xml:space="preserve">Supplementary Table S3. Group- and leg-specific partial slopes of log leg length on raw log composite head size, where composite head size is the geometric mean of head length and head width. The one-stage repeated-trait model also contains log pronotum length, group, leg identity and their specified interactions. Individual slope p-values are unadjusted.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Group</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Leg</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Slope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Lower 95%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Upper 95% CI</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p-value</w:t>
            </w:r>
          </w:p>
        </w:tc>
      </w:tr>
      <w:tr>
        <w:trPr>
          <w:cantSplit/>
          <w:trHeight w:val="405"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0.419</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0.281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0.557</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0.459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0.347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0.570</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0.323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0.216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0.430</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0.234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-0.050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0.518</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0.106</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0.422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0.288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0.555</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0.472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0.580</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0.257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0.464</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0.093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0.641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0.009</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0.633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0.489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0.777</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0.348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0.231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0.466</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0.253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0.477</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0.533</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0.237</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0.830</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bl>
    <w:p>
      <w:r>
        <w:br w:type="page"/>
      </w:r>
    </w:p>
    <w:p>
      <w:pPr>
        <w:pStyle w:val="BodyText"/>
      </w:pPr>
      <w:r>
        <w:rPr>
          <w:b/>
          <w:bCs/>
        </w:rPr>
        <w:t xml:space="preserve">Supplementary Table S4. Planned contrasts among weapon–leg slopes. P-values are Holm-adjusted within the three-contrast family for each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Leg</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Contrast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Difference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Lower 95%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Upper 95%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Adjusted p</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Holm family</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0.224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-0.149</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0.448</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Foreleg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midpoint(Eighth instar,Tenth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0.804</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Foreleg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0.499</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Foreleg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-0.256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0.466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Midleg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midpoint(Eighth instar,Tenth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Midleg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Midleg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-0.185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-0.576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0.205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0.762</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Hindleg</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midpoint(Eighth instar,Tenth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0.163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0.891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Hindleg</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 - Female</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-0.099</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-0.503</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0.304</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0.891</w:t>
            </w:r>
          </w:p>
        </w:tc>
        <w:tc>
          <w:tcPr>
            <w:tcBorders>
              <w:bottom w:val="single" w:sz="6" w:space="0" w:color="7F7F7F"/>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Three planned strategy slope contrasts within Hindleg</w:t>
            </w:r>
          </w:p>
        </w:tc>
      </w:tr>
    </w:tbl>
    <w:p>
      <w:r>
        <w:br w:type="page"/>
      </w:r>
    </w:p>
    <w:p>
      <w:pPr>
        <w:pStyle w:val="BodyText"/>
      </w:pPr>
      <w:r>
        <w:rPr>
          <w:b/>
          <w:bCs/>
        </w:rPr>
        <w:t xml:space="preserve">Supplementary Table S5. Within-group standardized partial slopes of log linearized tympanal size on raw log composite head size, controlling for log pronotum length. Linearized tympanal size is the square root of tympanal area. Equivalence required the complete 90% confidence interval to fall within −0.20 to 0.20; robust slopes are Huber M-estimates.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Group</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n</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Standardized slope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Lower 90%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Upper 90%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Robust slope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TOST p</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Equivalent within ±0.20</w:t>
            </w:r>
          </w:p>
        </w:tc>
      </w:tr>
      <w:tr>
        <w:trPr>
          <w:cantSplit/>
          <w:trHeight w:val="371"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Female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118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0.466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0.255</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0.676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0.437</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0.981</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No</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Eighth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78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0.275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0.043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0.507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0.263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0.705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No</w:t>
            </w:r>
          </w:p>
        </w:tc>
      </w:tr>
      <w:tr>
        <w:trPr>
          <w:cantSplit/>
          <w:trHeight w:val="371"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Ninth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79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0.167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-0.033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0.172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0.392</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No</w:t>
            </w:r>
          </w:p>
        </w:tc>
      </w:tr>
      <w:tr>
        <w:trPr>
          <w:cantSplit/>
          <w:trHeight w:val="371"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Tenth instar</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0.218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-0.077</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0.513</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0.221</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0.541</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No</w:t>
            </w:r>
          </w:p>
        </w:tc>
      </w:tr>
    </w:tbl>
    <w:p>
      <w:r>
        <w:br w:type="page"/>
      </w:r>
    </w:p>
    <w:p>
      <w:pPr>
        <w:pStyle w:val="BodyText"/>
      </w:pPr>
      <w:r>
        <w:rPr>
          <w:b/>
          <w:bCs/>
        </w:rPr>
        <w:t xml:space="preserve">Supplementary Table S6. All pairwise group contrasts in size-adjusted tympanal area and eye length at a pronotum length of 7.2 mm. Ratios greater than one indicate that the first named group had the larger predicted trait. P-values are Holm-adjusted within the six group pairs for each trait.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Trait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Contrast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Ratio</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Lower 95%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Upper 95%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Adjusted p</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Holm family</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0.992</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0.930</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1.059</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0.757</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tympanal area</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tympanal area</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0.828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tympanal area</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tympanal area</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tympanal area</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0.020</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tympanal area</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eye length</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0.885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eye length</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0.799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0.778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0.822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eye length</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eye length</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0.841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eye length</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0.929</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0.901</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0.959</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all-pairwise group contrasts for eye length</w:t>
            </w:r>
          </w:p>
        </w:tc>
      </w:tr>
    </w:tbl>
    <w:p>
      <w:r>
        <w:br w:type="page"/>
      </w:r>
    </w:p>
    <w:p>
      <w:pPr>
        <w:pStyle w:val="BodyText"/>
      </w:pPr>
      <w:r>
        <w:rPr>
          <w:b/>
          <w:bCs/>
        </w:rPr>
        <w:t xml:space="preserve">Supplementary Table S7. Sensitivity of dimensionality conclusions to trait definition, scaling and morph-classification uncertainty.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Approach</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Scenario</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Estimate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Null reference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p-value</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Conclusion</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Female-referenced rank-one test</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Five traits, standardized; head excluded (primary)</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88.8% captured by rank one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 percentile = 2.1%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 direction detected</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Female-referenced rank-one test</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traits, standardized; head included</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90.3% captured by rank one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 percentile = 1.8%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 direction detected</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Female-referenced rank-one test</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traits on raw log scale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98.3% captured by rank one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 percentile = 0.4%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 direction detected</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PCA with parallel analysis</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Five traits, standardized; head excluded (primary)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PC1 = 68.7%; eigenvalue 3.433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95th-percentile eigenvalue = 1.238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One component retained</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PCA with parallel analysis</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Six traits, standardized; head included</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PC1 = 68.6%; eigenvalue 4.116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95th-percentile eigenvalue = 1.268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One component retained</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PCA with parallel analysis</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Five traits after excluding classification-sensitive males</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PC1 = 68.4%; eigenvalue 3.418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95th-percentile eigenvalue = 1.242</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One component retained</w:t>
            </w:r>
          </w:p>
        </w:tc>
      </w:tr>
    </w:tbl>
    <w:p>
      <w:r>
        <w:br w:type="page"/>
      </w:r>
    </w:p>
    <w:p>
      <w:pPr>
        <w:pStyle w:val="BodyText"/>
      </w:pPr>
      <w:r>
        <w:rPr>
          <w:b/>
          <w:bCs/>
        </w:rPr>
        <w:t xml:space="preserve">Supplementary Table S8. Omnibus and pairwise permutation comparisons of within-group covariance and correlation matrices. Pairwise p-values are reported with both Benjamini–Hochberg and Holm adjustment across the six group pairs within each matrix type.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0"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Trait set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Matrix</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Statistic</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Permutations</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p-value</w:t>
            </w:r>
          </w:p>
        </w:tc>
      </w:tr>
      <w:tr>
        <w:trPr>
          <w:cantSplit/>
          <w:trHeight w:val="405"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Five non-head traits (primary)</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Covariance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116.446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9,999</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0.398</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Five non-head traits (primary)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0.360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9,999</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0.848</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Six traits including head (sensitivity)</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325.208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9,999</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0.042</w:t>
            </w:r>
          </w:p>
        </w:tc>
      </w:tr>
      <w:tr>
        <w:trPr>
          <w:cantSplit/>
          <w:trHeight w:val="405"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Six traits including head (sensitivity)</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Correlation</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0.825</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9,999</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0.581</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1"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Matrix</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Pair</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Frobenius distance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Raw p</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BH p</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Holm p</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0.989</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0.314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0.471</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0.298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0.505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0.606</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0.585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0.929</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1.546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0.692</w:t>
            </w:r>
          </w:p>
        </w:tc>
      </w:tr>
      <w:tr>
        <w:trPr>
          <w:cantSplit/>
          <w:trHeight w:val="364"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1.420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0.199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0.471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0.997</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0.278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0.325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0.804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0.620</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0.434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64"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0.483</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0.694</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bl>
    <w:p>
      <w:r>
        <w:br w:type="page"/>
      </w:r>
    </w:p>
    <w:p>
      <w:pPr>
        <w:pStyle w:val="BodyText"/>
      </w:pPr>
      <w:r>
        <w:rPr>
          <w:b/>
          <w:bCs/>
        </w:rPr>
        <w:t xml:space="preserve">Supplementary Table S9. Descriptive matrix similarities and unequal-sample-size rarefaction. Rarefaction used 2,000 subsamples that reduced each group to 38 specimens; intervals are the 2.5th and 97.5th percentiles of the resulting distance distribution.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Matrix</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Pair</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Element correlation</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Random-skewers similarity</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Rarefied distance, median (95% interval)</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Target n</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0.884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0.969</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1.399 (0.765–2.471)</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0.902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1.363 (0.720–2.728)</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1.096 (0.657–2.163)</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1.145 (0.631–2.093)</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1.669 (0.973–2.502)</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Covariance</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1.515 (0.787–2.585)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Eighth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0.664 (0.327–1.148)</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0.624 (0.289–1.314)</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0.733 (0.454–1.264)</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Ninth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0.987</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0.671 (0.337–1.221)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 – Tenth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0.703 (0.390–1.139)</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Correlation</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 – Tenth instar</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0.952</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0.594 (0.354–0.954)</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r>
    </w:tbl>
    <w:p>
      <w:r>
        <w:br w:type="page"/>
      </w:r>
    </w:p>
    <w:p>
      <w:pPr>
        <w:pStyle w:val="BodyText"/>
      </w:pPr>
      <w:r>
        <w:rPr>
          <w:b/>
          <w:bCs/>
        </w:rPr>
        <w:t xml:space="preserve">Supplementary Table S10. Comparison of covariance structures for the repeated-leg model. All models contain the same fixed-effects specification and were fitted by REML.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Model</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Parameters</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AIC</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BIC</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Log likelihood</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Comparison</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Likelihood-ratio statistic</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p-value</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Compound symmetry</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-4,009.84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-3,884.64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2,030.92</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Heterogeneous compound symmetry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-4,019.19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-3,884.36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2,037.60</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 vs 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r>
      <w:tr>
        <w:trPr>
          <w:cantSplit/>
          <w:trHeight w:val="385" w:hRule="auto"/>
        </w:trPr>
        <w:tc>
          <w:tcPr>
            <w:tcBorders>
              <w:bottom w:val="single" w:sz="6" w:space="0" w:color="7F7F7F"/>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Unstructured covariance</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-4,089.70</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-3,945.23</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2,074.85</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 vs 3</w:t>
            </w:r>
          </w:p>
        </w:tc>
        <w:tc>
          <w:tcPr>
            <w:tcBorders>
              <w:bottom w:val="single" w:sz="6" w:space="0" w:color="7F7F7F"/>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74.50</w:t>
            </w:r>
          </w:p>
        </w:tc>
        <w:tc>
          <w:tcPr>
            <w:tcBorders>
              <w:bottom w:val="single" w:sz="6" w:space="0" w:color="7F7F7F"/>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bl>
    <w:p>
      <w:pPr>
        <w:pStyle w:val="BodyText"/>
      </w:pPr>
      <w:r>
        <w:rPr>
          <w:b/>
          <w:bCs/>
        </w:rPr>
        <w:t xml:space="preserve">Estimated parameters from the selected unstructured covariance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68"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Parameter</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Estimate</w:t>
            </w:r>
          </w:p>
        </w:tc>
      </w:tr>
      <w:tr>
        <w:trPr>
          <w:cantSplit/>
          <w:trHeight w:val="405"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Foreleg-midleg residual correlation</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0.871</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Foreleg-hindleg residual correlation</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0.690</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Midleg-hindleg residual correlation</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0.725</w:t>
            </w:r>
          </w:p>
        </w:tc>
      </w:tr>
      <w:tr>
        <w:trPr>
          <w:cantSplit/>
          <w:trHeight w:val="405"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Midleg/foreleg residual SD ratio</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0.997</w:t>
            </w:r>
          </w:p>
        </w:tc>
      </w:tr>
      <w:tr>
        <w:trPr>
          <w:cantSplit/>
          <w:trHeight w:val="405" w:hRule="auto"/>
        </w:trPr>
        <w:tc>
          <w:tcPr>
            <w:tcBorders>
              <w:bottom w:val="single" w:sz="6" w:space="0" w:color="7F7F7F"/>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Hindleg/foreleg residual SD ratio</w:t>
            </w:r>
          </w:p>
        </w:tc>
        <w:tc>
          <w:tcPr>
            <w:tcBorders>
              <w:bottom w:val="single" w:sz="6" w:space="0" w:color="7F7F7F"/>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1.074</w:t>
            </w:r>
          </w:p>
        </w:tc>
      </w:tr>
    </w:tbl>
    <w:p>
      <w:r>
        <w:br w:type="page"/>
      </w:r>
    </w:p>
    <w:p>
      <w:pPr>
        <w:pStyle w:val="BodyText"/>
      </w:pPr>
      <w:r>
        <w:rPr>
          <w:b/>
          <w:bCs/>
        </w:rPr>
        <w:t xml:space="preserve">Supplementary Table S11. Morph-classification, head-adjusted eye and sample-composition sensitivity checks. Observed counts are ordered as eighth / ninth / tenth instar.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Reference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Observed</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Expected eighth</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Expected ninth</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Expected tenth</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χ²</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df</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p-value</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Kelly 2026 retained assignments</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 / 79 / 38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44.1%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Kelly and Adams 2010 field sample</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 / 79 / 38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43.3%</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30.9%</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9.29</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0.010</w:t>
            </w:r>
          </w:p>
        </w:tc>
      </w:tr>
    </w:tbl>
    <w:p>
      <w:pPr>
        <w:pStyle w:val="BodyText"/>
      </w:pPr>
      <w:r>
        <w:rPr>
          <w:b/>
          <w:bCs/>
        </w:rPr>
        <w:t xml:space="preserve">Head-adjusted eye-length group test under the archived labels and after excluding males whose labels disagree with the published 2010 thresholds.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0"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Dataset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Numerator df</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Residual df</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F</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p-value</w:t>
            </w:r>
          </w:p>
        </w:tc>
      </w:tr>
      <w:tr>
        <w:trPr>
          <w:cantSplit/>
          <w:trHeight w:val="371"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Current archived labels</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307</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10.65</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Excluded labels disagreeing with 2010 cutoffs</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297</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10.79</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bl>
    <w:p>
      <w:pPr>
        <w:pStyle w:val="BodyText"/>
      </w:pPr>
      <w:r>
        <w:rPr>
          <w:b/>
          <w:bCs/>
        </w:rPr>
        <w:t xml:space="preserve">Head-size and group contributions to eye length when pronotum, composite head size and group are fitted jointly.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3"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Analysis</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Numerator df</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Residual df</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F</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7"/>
                <w:szCs w:val="17"/>
                <w:color w:val="000000"/>
              </w:rPr>
              <w:t xml:space="preserve">p-value</w:t>
            </w:r>
          </w:p>
        </w:tc>
      </w:tr>
      <w:tr>
        <w:trPr>
          <w:cantSplit/>
          <w:trHeight w:val="405"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Head-size contribution to eye length after pronotum and group</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307</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112.99</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r>
        <w:trPr>
          <w:cantSplit/>
          <w:trHeight w:val="405"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Group effect on eye length after pronotum and head size</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307</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10.65</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7"/>
                <w:szCs w:val="17"/>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7"/>
                <w:szCs w:val="17"/>
                <w:color w:val="000000"/>
              </w:rPr>
              <w:t xml:space="preserve">&lt;0.001</w:t>
            </w:r>
          </w:p>
        </w:tc>
      </w:tr>
    </w:tbl>
    <w:p>
      <w:r>
        <w:br w:type="page"/>
      </w:r>
    </w:p>
    <w:p>
      <w:pPr>
        <w:pStyle w:val="BodyText"/>
      </w:pPr>
      <w:r>
        <w:rPr>
          <w:b/>
          <w:bCs/>
        </w:rPr>
        <w:t xml:space="preserve">Observed composite head-size ranges. The reversed common bounds show that the four groups have no shared head-size support.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Group</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n</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Minimum head size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Maximum head size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Common lower bound</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Common upper bound</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Common support</w:t>
            </w:r>
          </w:p>
        </w:tc>
      </w:tr>
      <w:tr>
        <w:trPr>
          <w:cantSplit/>
          <w:trHeight w:val="364"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Female</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8.491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Eighth instar</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9.794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14.034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r>
        <w:trPr>
          <w:cantSplit/>
          <w:trHeight w:val="364"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Ninth instar</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13.321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17.299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r>
        <w:trPr>
          <w:cantSplit/>
          <w:trHeight w:val="364"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Tenth instar</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19.673</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16.818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11.246</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bl>
    <w:p>
      <w:r>
        <w:br w:type="page"/>
      </w:r>
    </w:p>
    <w:p>
      <w:pPr>
        <w:pStyle w:val="BodyText"/>
      </w:pPr>
      <w:r>
        <w:rPr>
          <w:b/>
          <w:bCs/>
        </w:rPr>
        <w:t xml:space="preserve">Supplementary Table S12. Conservative cross-analysis multiplicity sensitivity for ten focal omnibus tests. This audit does not replace the prespecified families used for planned contrasts.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Analysis</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Tier</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Raw p</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BH p</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Holm p</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Leg allocation group x leg</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Primary</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Leg allometry body size x group</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0.122</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Leg allometry body size x group x 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0.096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0.236</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0.671</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Raw head size x group x 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Primary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0.009</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0.016</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Ear body-size slope x group</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0.862</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body-size slope x group</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0.745</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Raw ear-foretibia slope x group</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0.377</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Raw eye-head slope x group</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0.118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0.236</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0.707</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Raw weapon-ear slope x group</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0.377</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Five-trait correlation-matrix equality</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Primary</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0.848</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0.862</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r>
    </w:tbl>
    <w:p>
      <w:r>
        <w:br w:type="page"/>
      </w:r>
    </w:p>
    <w:p>
      <w:pPr>
        <w:pStyle w:val="BodyText"/>
      </w:pPr>
      <w:r>
        <w:rPr>
          <w:b/>
          <w:bCs/>
        </w:rPr>
        <w:t xml:space="preserve">Supplementary Table S13. Sensitivity of ninth-instar midpoint equivalence to ±2.5% and ±5% regions. Equivalence requires the complete 90% confidence interval to fall within the stated region.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w:tc>
          <w:tcPr>
            <w:tcBorders>
              <w:bottom w:val="single" w:sz="6" w:space="0" w:color="7F7F7F"/>
              <w:top w:val="single" w:sz="6" w:space="0" w:color="7F7F7F"/>
              <w:left w:val="single" w:sz="6" w:space="0" w:color="7F7F7F"/>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Trait</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Scale</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Equivalence region</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Ratio</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Lower 90%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Upper 90% CI</w:t>
            </w:r>
          </w:p>
        </w:tc>
        <w:tc>
          <w:tcPr>
            <w:tcBorders>
              <w:bottom w:val="single" w:sz="6" w:space="0" w:color="7F7F7F"/>
              <w:top w:val="single" w:sz="6" w:space="0" w:color="7F7F7F"/>
              <w:left w:val="single" w:sz="3" w:space="0" w:color="D0D0D0"/>
              <w:right w:val="single" w:sz="3" w:space="0" w:color="D0D0D0"/>
            </w:tcBorders>
            <w:shd w:val="clear" w:color="auto" w:fill="D9E2F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TOST p</w:t>
            </w:r>
          </w:p>
        </w:tc>
        <w:tc>
          <w:tcPr>
            <w:tcBorders>
              <w:bottom w:val="single" w:sz="6" w:space="0" w:color="7F7F7F"/>
              <w:top w:val="single" w:sz="6" w:space="0" w:color="7F7F7F"/>
              <w:left w:val="single" w:sz="3" w:space="0" w:color="D0D0D0"/>
              <w:right w:val="single" w:sz="6" w:space="0" w:color="7F7F7F"/>
            </w:tcBorders>
            <w:shd w:val="clear" w:color="auto" w:fill="D9E2F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Equivalent</w:t>
            </w:r>
          </w:p>
        </w:tc>
      </w:tr>
      <w:tr>
        <w:trPr>
          <w:cantSplit/>
          <w:trHeight w:val="396" w:hRule="auto"/>
        </w:trPr>
        <w:tc>
          <w:tcPr>
            <w:tcBorders>
              <w:bottom w:val="single" w:sz="3" w:space="0" w:color="D0D0D0"/>
              <w:top w:val="single" w:sz="6" w:space="0" w:color="7F7F7F"/>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1.001</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1.014</w:t>
            </w:r>
          </w:p>
        </w:tc>
        <w:tc>
          <w:tcPr>
            <w:tcBorders>
              <w:bottom w:val="single" w:sz="3" w:space="0" w:color="D0D0D0"/>
              <w:top w:val="single" w:sz="6" w:space="0" w:color="7F7F7F"/>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0.001</w:t>
            </w:r>
          </w:p>
        </w:tc>
        <w:tc>
          <w:tcPr>
            <w:tcBorders>
              <w:bottom w:val="single" w:sz="3" w:space="0" w:color="D0D0D0"/>
              <w:top w:val="single" w:sz="6" w:space="0" w:color="7F7F7F"/>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0.992</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0.006</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1.023</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0.032</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Foreleg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1.001</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0.988</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Midleg</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0.992</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1.018</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Hindleg</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1.023</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area ratio</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1.016</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1.039</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0.263</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Tympanal area</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area ratio</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1.016</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1.039</w:t>
            </w:r>
          </w:p>
        </w:tc>
        <w:tc>
          <w:tcPr>
            <w:tcBorders>
              <w:bottom w:val="single" w:sz="3" w:space="0" w:color="D0D0D0"/>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0.009</w:t>
            </w:r>
          </w:p>
        </w:tc>
        <w:tc>
          <w:tcPr>
            <w:tcBorders>
              <w:bottom w:val="single" w:sz="3" w:space="0" w:color="D0D0D0"/>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3" w:space="0" w:color="D0D0D0"/>
              <w:top w:val="single" w:sz="3" w:space="0" w:color="D0D0D0"/>
              <w:left w:val="single" w:sz="6" w:space="0" w:color="7F7F7F"/>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1.007</w:t>
            </w:r>
          </w:p>
        </w:tc>
        <w:tc>
          <w:tcPr>
            <w:tcBorders>
              <w:bottom w:val="single" w:sz="3" w:space="0" w:color="D0D0D0"/>
              <w:top w:val="single" w:sz="3" w:space="0" w:color="D0D0D0"/>
              <w:left w:val="single" w:sz="3" w:space="0" w:color="D0D0D0"/>
              <w:right w:val="single" w:sz="3" w:space="0" w:color="D0D0D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0.009</w:t>
            </w:r>
          </w:p>
        </w:tc>
        <w:tc>
          <w:tcPr>
            <w:tcBorders>
              <w:bottom w:val="single" w:sz="3" w:space="0" w:color="D0D0D0"/>
              <w:top w:val="single" w:sz="3" w:space="0" w:color="D0D0D0"/>
              <w:left w:val="single" w:sz="3" w:space="0" w:color="D0D0D0"/>
              <w:right w:val="single" w:sz="6" w:space="0" w:color="7F7F7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r>
        <w:trPr>
          <w:cantSplit/>
          <w:trHeight w:val="396" w:hRule="auto"/>
        </w:trPr>
        <w:tc>
          <w:tcPr>
            <w:tcBorders>
              <w:bottom w:val="single" w:sz="6" w:space="0" w:color="7F7F7F"/>
              <w:top w:val="single" w:sz="3" w:space="0" w:color="D0D0D0"/>
              <w:left w:val="single" w:sz="6" w:space="0" w:color="7F7F7F"/>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Eye length</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length ratio</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±5%</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0.994</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0.981</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1.007</w:t>
            </w:r>
          </w:p>
        </w:tc>
        <w:tc>
          <w:tcPr>
            <w:tcBorders>
              <w:bottom w:val="single" w:sz="6" w:space="0" w:color="7F7F7F"/>
              <w:top w:val="single" w:sz="3" w:space="0" w:color="D0D0D0"/>
              <w:left w:val="single" w:sz="3" w:space="0" w:color="D0D0D0"/>
              <w:right w:val="single" w:sz="3" w:space="0" w:color="D0D0D0"/>
            </w:tcBorders>
            <w:shd w:val="clear" w:color="auto" w:fill="F3F6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single" w:sz="6" w:space="0" w:color="7F7F7F"/>
              <w:top w:val="single" w:sz="3" w:space="0" w:color="D0D0D0"/>
              <w:left w:val="single" w:sz="3" w:space="0" w:color="D0D0D0"/>
              <w:right w:val="single" w:sz="6" w:space="0" w:color="7F7F7F"/>
            </w:tcBorders>
            <w:shd w:val="clear" w:color="auto" w:fill="F3F6F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Yes</w:t>
            </w:r>
          </w:p>
        </w:tc>
      </w:tr>
    </w:tbl>
    <w:p>
      <w:r>
        <w:br w:type="page"/>
      </w:r>
    </w:p>
    <w:bookmarkEnd w:id="35"/>
    <w:bookmarkStart w:id="45" w:name="supplementary-figures"/>
    <w:p>
      <w:pPr>
        <w:pStyle w:val="Heading1"/>
      </w:pPr>
      <w:r>
        <w:t xml:space="preserve">Supplementary figures</w:t>
      </w:r>
    </w:p>
    <w:p>
      <w:pPr>
        <w:pStyle w:val="FirstParagraph"/>
      </w:pPr>
      <w:r>
        <w:rPr>
          <w:b/>
          <w:bCs/>
        </w:rPr>
        <w:t xml:space="preserve">Supplementary Figure S1. Within-group correlation matrices of size-adjusted residuals for foreleg, midleg, hindleg, linearized tympanal size and eye length. Head size was excluded because head length contributed to male morph assignment. The omnibus permutation test detected no difference among correlation matrices (p = 0.8475).</w:t>
      </w:r>
    </w:p>
    <w:p>
      <w:pPr>
        <w:pStyle w:val="BodyText"/>
      </w:pPr>
      <w:r>
        <w:drawing>
          <wp:inline>
            <wp:extent cx="5670550" cy="5513034"/>
            <wp:effectExtent b="0" l="0" r="0" t="0"/>
            <wp:docPr descr="" title="" id="37" name="Picture"/>
            <a:graphic>
              <a:graphicData uri="http://schemas.openxmlformats.org/drawingml/2006/picture">
                <pic:pic>
                  <pic:nvPicPr>
                    <pic:cNvPr descr="supplement_analysis_outputs/weta_trait_analysis/figures/group_trait_correlation_matrices.png" id="38" name="Picture"/>
                    <pic:cNvPicPr>
                      <a:picLocks noChangeArrowheads="1" noChangeAspect="1"/>
                    </pic:cNvPicPr>
                  </pic:nvPicPr>
                  <pic:blipFill>
                    <a:blip r:embed="rId36"/>
                    <a:stretch>
                      <a:fillRect/>
                    </a:stretch>
                  </pic:blipFill>
                  <pic:spPr bwMode="auto">
                    <a:xfrm>
                      <a:off x="0" y="0"/>
                      <a:ext cx="5670550" cy="5513034"/>
                    </a:xfrm>
                    <a:prstGeom prst="rect">
                      <a:avLst/>
                    </a:prstGeom>
                    <a:noFill/>
                    <a:ln w="9525">
                      <a:noFill/>
                      <a:headEnd/>
                      <a:tailEnd/>
                    </a:ln>
                  </pic:spPr>
                </pic:pic>
              </a:graphicData>
            </a:graphic>
          </wp:inline>
        </w:drawing>
      </w:r>
    </w:p>
    <w:p>
      <w:pPr>
        <w:pStyle w:val="BodyText"/>
      </w:pPr>
      <w:r>
        <w:rPr>
          <w:b/>
          <w:bCs/>
        </w:rPr>
        <w:t xml:space="preserve">Supplementary Figure S2. Individual scores on the first two principal components of the five nonclassification traits after group-specific adjustment to a pronotum length of 7.2 mm. Diamonds show group centroids and ellipses show descriptive 68% normal regions. Parallel analysis retained PC1 but not PC2.</w:t>
      </w:r>
    </w:p>
    <w:p>
      <w:pPr>
        <w:pStyle w:val="BodyText"/>
      </w:pPr>
      <w:r>
        <w:drawing>
          <wp:inline>
            <wp:extent cx="5670550" cy="4295871"/>
            <wp:effectExtent b="0" l="0" r="0" t="0"/>
            <wp:docPr descr="" title="" id="40" name="Picture"/>
            <a:graphic>
              <a:graphicData uri="http://schemas.openxmlformats.org/drawingml/2006/picture">
                <pic:pic>
                  <pic:nvPicPr>
                    <pic:cNvPr descr="supplement_analysis_outputs/weta_trait_analysis/figures/pca_group_scores.png" id="41" name="Picture"/>
                    <pic:cNvPicPr>
                      <a:picLocks noChangeArrowheads="1" noChangeAspect="1"/>
                    </pic:cNvPicPr>
                  </pic:nvPicPr>
                  <pic:blipFill>
                    <a:blip r:embed="rId39"/>
                    <a:stretch>
                      <a:fillRect/>
                    </a:stretch>
                  </pic:blipFill>
                  <pic:spPr bwMode="auto">
                    <a:xfrm>
                      <a:off x="0" y="0"/>
                      <a:ext cx="5670550" cy="4295871"/>
                    </a:xfrm>
                    <a:prstGeom prst="rect">
                      <a:avLst/>
                    </a:prstGeom>
                    <a:noFill/>
                    <a:ln w="9525">
                      <a:noFill/>
                      <a:headEnd/>
                      <a:tailEnd/>
                    </a:ln>
                  </pic:spPr>
                </pic:pic>
              </a:graphicData>
            </a:graphic>
          </wp:inline>
        </w:drawing>
      </w:r>
    </w:p>
    <w:p>
      <w:r>
        <w:br w:type="page"/>
      </w:r>
    </w:p>
    <w:p>
      <w:pPr>
        <w:pStyle w:val="BodyText"/>
      </w:pPr>
      <w:r>
        <w:rPr>
          <w:b/>
          <w:bCs/>
        </w:rPr>
        <w:t xml:space="preserve">Supplementary Figure S3. Observed pronotum-length distributions by group. The dashed line marks the 7.2-mm reference used for adjusted means and contrasts; it falls within the common observed support of all four groups.</w:t>
      </w:r>
    </w:p>
    <w:p>
      <w:pPr>
        <w:pStyle w:val="BodyText"/>
      </w:pPr>
      <w:r>
        <w:drawing>
          <wp:inline>
            <wp:extent cx="5670550" cy="4050392"/>
            <wp:effectExtent b="0" l="0" r="0" t="0"/>
            <wp:docPr descr="" title="" id="43" name="Picture"/>
            <a:graphic>
              <a:graphicData uri="http://schemas.openxmlformats.org/drawingml/2006/picture">
                <pic:pic>
                  <pic:nvPicPr>
                    <pic:cNvPr descr="supplement_analysis_outputs/weta_trait_analysis/figures/body_size_distributions.png" id="44" name="Picture"/>
                    <pic:cNvPicPr>
                      <a:picLocks noChangeArrowheads="1" noChangeAspect="1"/>
                    </pic:cNvPicPr>
                  </pic:nvPicPr>
                  <pic:blipFill>
                    <a:blip r:embed="rId42"/>
                    <a:stretch>
                      <a:fillRect/>
                    </a:stretch>
                  </pic:blipFill>
                  <pic:spPr bwMode="auto">
                    <a:xfrm>
                      <a:off x="0" y="0"/>
                      <a:ext cx="5670550" cy="4050392"/>
                    </a:xfrm>
                    <a:prstGeom prst="rect">
                      <a:avLst/>
                    </a:prstGeom>
                    <a:noFill/>
                    <a:ln w="9525">
                      <a:noFill/>
                      <a:headEnd/>
                      <a:tailEnd/>
                    </a:ln>
                  </pic:spPr>
                </pic:pic>
              </a:graphicData>
            </a:graphic>
          </wp:inline>
        </w:drawing>
      </w:r>
    </w:p>
    <w:bookmarkEnd w:id="45"/>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Clint D. Kelly</dc:creator>
  <cp:keywords/>
  <dcterms:created xsi:type="dcterms:W3CDTF">2026-09-21T20:38:49Z</dcterms:created>
  <dcterms:modified xsi:type="dcterms:W3CDTF">2026-09-21T20:38:49Z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Coordinated locomotory and sensory divergence across alternative mating strategies in Wellington tree wētā</vt:lpwstr>
  </property>
  <property fmtid="{D5CDD505-2E9C-101B-9397-08002B2CF9AE}" pid="13" name="toc-title">
    <vt:lpwstr>Table of contents</vt:lpwstr>
  </property>
</Properties>
</file>