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A0E32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bookmarkStart w:id="0" w:name="_GoBack"/>
      <w:bookmarkEnd w:id="0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未名乐队首场专场音乐会策划案（审批草案）</w:t>
      </w:r>
    </w:p>
    <w:p w14:paraId="639F787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一、活动基本信息</w:t>
      </w:r>
    </w:p>
    <w:p w14:paraId="77DE5BE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活动名称：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未名乐队首场专场音乐会 </w:t>
      </w:r>
    </w:p>
    <w:p w14:paraId="2879915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活动对象：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第八书院全体学生 </w:t>
      </w:r>
    </w:p>
    <w:p w14:paraId="5ACA061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活动形式：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小型校园乐队专场演出 </w:t>
      </w:r>
    </w:p>
    <w:p w14:paraId="13582C0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活动性质：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公益性校园文化活动，免费参加，无需报名 </w:t>
      </w:r>
    </w:p>
    <w:p w14:paraId="389E88B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活动地点：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第八书院 B 栋大活动室 </w:t>
      </w:r>
    </w:p>
    <w:p w14:paraId="34EFFC2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活动时间：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暂定4月6日19：30－20：30 </w:t>
      </w:r>
    </w:p>
    <w:p w14:paraId="75A9EB1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ACB9A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二、活动目的</w:t>
      </w:r>
    </w:p>
    <w:p w14:paraId="075B35E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丰富书院文化生活，营造积极健康、青春活泼的校园文化氛围。</w:t>
      </w:r>
    </w:p>
    <w:p w14:paraId="512EB60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作为未名乐队成立以来的首次专场演出，增强团队凝聚力，积累活动组织经验。</w:t>
      </w:r>
    </w:p>
    <w:p w14:paraId="080A1A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通过轻松、正向的音乐活动，促进书院同学之间的互动交流，提升书院文化活力。</w:t>
      </w:r>
    </w:p>
    <w:p w14:paraId="06AF8EB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039B3D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三、活动可行性说明</w:t>
      </w:r>
    </w:p>
    <w:p w14:paraId="5D673D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组织基础较为明确。</w:t>
      </w:r>
      <w:r>
        <w:rPr>
          <w:rFonts w:ascii="Helvetica Neue" w:hAnsi="Helvetica Neue" w:cs="Helvetica Neue"/>
          <w:kern w:val="0"/>
          <w:sz w:val="26"/>
          <w:szCs w:val="26"/>
        </w:rPr>
        <w:t> 未名乐队已组建四个月，成员分工基本明确，具备一定排练基础，能够承担小型音乐会的节目准备工作。</w:t>
      </w:r>
    </w:p>
    <w:p w14:paraId="5CC004A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活动规模适中。</w:t>
      </w:r>
      <w:r>
        <w:rPr>
          <w:rFonts w:ascii="Helvetica Neue" w:hAnsi="Helvetica Neue" w:cs="Helvetica Neue"/>
          <w:kern w:val="0"/>
          <w:sz w:val="26"/>
          <w:szCs w:val="26"/>
        </w:rPr>
        <w:t> 本次活动定位为书院内小型音乐会，预计观众人数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不超过活动室安全容纳人数</w:t>
      </w:r>
      <w:r>
        <w:rPr>
          <w:rFonts w:ascii="Helvetica Neue" w:hAnsi="Helvetica Neue" w:cs="Helvetica Neue"/>
          <w:kern w:val="0"/>
          <w:sz w:val="26"/>
          <w:szCs w:val="26"/>
        </w:rPr>
        <w:t>，活动规模可控，便于现场组织与秩序维护。</w:t>
      </w:r>
    </w:p>
    <w:p w14:paraId="4D7FDDD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活动内容健康积极。</w:t>
      </w:r>
      <w:r>
        <w:rPr>
          <w:rFonts w:ascii="Helvetica Neue" w:hAnsi="Helvetica Neue" w:cs="Helvetica Neue"/>
          <w:kern w:val="0"/>
          <w:sz w:val="26"/>
          <w:szCs w:val="26"/>
        </w:rPr>
        <w:t> 拟演出歌曲内容适合校园环境，演出服装和互动设计坚持文明、得体、积极向上的原则。</w:t>
      </w:r>
    </w:p>
    <w:p w14:paraId="3D6EC3D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场地具有一定参考基础。</w:t>
      </w:r>
      <w:r>
        <w:rPr>
          <w:rFonts w:ascii="Helvetica Neue" w:hAnsi="Helvetica Neue" w:cs="Helvetica Neue"/>
          <w:kern w:val="0"/>
          <w:sz w:val="26"/>
          <w:szCs w:val="26"/>
        </w:rPr>
        <w:t> 第八书院 B 栋大活动室此前曾举办过钢琴演奏类活动，具备一定文艺活动承载经验。虽然尚未开展过乐队表演，但可在老师指导下提前沟通场地使用要求，并通过控制音量、规范组织、缩短布置时间等方式降低活动影响。</w:t>
      </w:r>
    </w:p>
    <w:p w14:paraId="5D5C12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活动时长合理。</w:t>
      </w:r>
      <w:r>
        <w:rPr>
          <w:rFonts w:ascii="Helvetica Neue" w:hAnsi="Helvetica Neue" w:cs="Helvetica Neue"/>
          <w:kern w:val="0"/>
          <w:sz w:val="26"/>
          <w:szCs w:val="26"/>
        </w:rPr>
        <w:t> 整场活动计划控制在 1 小时左右，流程紧凑，便于管理，不会长时间占用公共空间。</w:t>
      </w:r>
    </w:p>
    <w:p w14:paraId="303FB5D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72EAE3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四、活动时间安排</w:t>
      </w:r>
    </w:p>
    <w:p w14:paraId="74DDB8D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1. 前期准备</w:t>
      </w:r>
    </w:p>
    <w:p w14:paraId="7909C40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活动前 7 天开始第一轮宣传</w:t>
      </w:r>
    </w:p>
    <w:p w14:paraId="06B3624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活动前持续开展排练、流程确认、人员分工细化</w:t>
      </w:r>
    </w:p>
    <w:p w14:paraId="2ACDBD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活动当天进行最终提醒和现场布置</w:t>
      </w:r>
    </w:p>
    <w:p w14:paraId="31E88F3C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 正式活动流程（总时长约 60 分钟）</w:t>
      </w:r>
    </w:p>
    <w:p w14:paraId="41CBB0B6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开场介绍：5 分钟</w:t>
      </w:r>
    </w:p>
    <w:p w14:paraId="3E470DA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乐队演出：45–50 分钟</w:t>
      </w:r>
    </w:p>
    <w:p w14:paraId="46E2DFA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观众互动：5 分钟</w:t>
      </w:r>
    </w:p>
    <w:p w14:paraId="08AC22A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合照及谢幕：5 分钟</w:t>
      </w:r>
    </w:p>
    <w:p w14:paraId="4EB93D1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369D44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五、乐队成员与人员安排</w:t>
      </w:r>
    </w:p>
    <w:p w14:paraId="7E018CB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1. 乐队成员构成</w:t>
      </w:r>
    </w:p>
    <w:p w14:paraId="1C80626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主唱：3 人</w:t>
      </w:r>
    </w:p>
    <w:p w14:paraId="044B270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主音吉他：1 人</w:t>
      </w:r>
    </w:p>
    <w:p w14:paraId="5225718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节奏吉他：1 人</w:t>
      </w:r>
    </w:p>
    <w:p w14:paraId="0180A8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贝斯：1 人</w:t>
      </w:r>
    </w:p>
    <w:p w14:paraId="3FC73E8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鼓手：1 人</w:t>
      </w:r>
    </w:p>
    <w:p w14:paraId="59B716A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键盘：1 人</w:t>
      </w:r>
    </w:p>
    <w:p w14:paraId="5FED5797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 现场工作人员安排</w:t>
      </w:r>
    </w:p>
    <w:p w14:paraId="2F4621E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总负责人：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朱婧瑶</w:t>
      </w:r>
    </w:p>
    <w:p w14:paraId="308FAA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主持/串场：1 人</w:t>
      </w:r>
    </w:p>
    <w:p w14:paraId="12836BD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场务：1–2 人</w:t>
      </w:r>
    </w:p>
    <w:p w14:paraId="56CBC92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摄影/拍照：1 人</w:t>
      </w:r>
    </w:p>
    <w:p w14:paraId="62EFC42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设备协助：1 人</w:t>
      </w:r>
    </w:p>
    <w:p w14:paraId="23455C8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现场秩序维护：1 人</w:t>
      </w:r>
    </w:p>
    <w:p w14:paraId="36FC1FC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 总负责人职责</w:t>
      </w:r>
    </w:p>
    <w:p w14:paraId="015CFD7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总负责人朱婧瑶负责活动整体统筹，包括前期与老师沟通审批、组织排练、协调现场流程、安排人员分工、督促场地恢复等工作，确保活动顺利完成。</w:t>
      </w:r>
    </w:p>
    <w:p w14:paraId="6774EA6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B51CE1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六、节目安排（待完善版）</w:t>
      </w:r>
    </w:p>
    <w:tbl>
      <w:tblPr>
        <w:tblStyle w:val="14"/>
        <w:tblW w:w="0" w:type="auto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160"/>
        <w:gridCol w:w="2160"/>
        <w:gridCol w:w="2160"/>
      </w:tblGrid>
      <w:tr w14:paraId="33542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5C5BDE4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序号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B6C5F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曲目名称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7858F3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演唱形式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79D31E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预计时长</w:t>
            </w:r>
          </w:p>
        </w:tc>
      </w:tr>
      <w:tr w14:paraId="59CDE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3DD78C2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127D31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一路向北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3FD8D71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乐队演奏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7CBF813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5min</w:t>
            </w:r>
          </w:p>
        </w:tc>
      </w:tr>
      <w:tr w14:paraId="224FD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B400AC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72E9B12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海阔天空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0A3E2EF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乐队演奏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0E9C6EB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5min</w:t>
            </w:r>
          </w:p>
        </w:tc>
      </w:tr>
      <w:tr w14:paraId="47FCC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C51B24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53209B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What’s Up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3BAA9D5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乐队演奏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B63353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5min</w:t>
            </w:r>
          </w:p>
        </w:tc>
      </w:tr>
      <w:tr w14:paraId="3F879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732003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43F1EB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Wake Me Up When September Ends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48A191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乐队演奏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20F058B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5min</w:t>
            </w:r>
          </w:p>
        </w:tc>
      </w:tr>
      <w:tr w14:paraId="2D368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F79A51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08BF45D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听见下雨的声音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2CE609F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乐队演奏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019149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4min</w:t>
            </w:r>
          </w:p>
        </w:tc>
      </w:tr>
      <w:tr w14:paraId="100FA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F9521F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  <w:t>6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3744628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虚拟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5584F3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eastAsia="PingFang SC" w:cs="Helvetica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小组演奏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88D4EA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3min</w:t>
            </w:r>
          </w:p>
        </w:tc>
      </w:tr>
      <w:tr w14:paraId="42F6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1471F8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eastAsia="PingFang SC" w:cs="Helvetica Neue"/>
                <w:kern w:val="0"/>
                <w:sz w:val="26"/>
                <w:szCs w:val="26"/>
              </w:rPr>
            </w:pPr>
            <w:r>
              <w:rPr>
                <w:rFonts w:hint="eastAsia" w:ascii="Helvetica Neue" w:hAnsi="Helvetica Neue" w:eastAsia="PingFang SC" w:cs="Helvetica Neue"/>
                <w:kern w:val="0"/>
                <w:sz w:val="26"/>
                <w:szCs w:val="26"/>
              </w:rPr>
              <w:t>7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0904365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Regret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197667FD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小组演奏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6E8016C5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3min</w:t>
            </w:r>
          </w:p>
        </w:tc>
      </w:tr>
      <w:tr w14:paraId="5C6AE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27F0527F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Helvetica Neue" w:hAnsi="Helvetica Neue" w:eastAsia="PingFang SC" w:cs="Helvetica Neue"/>
                <w:kern w:val="0"/>
                <w:sz w:val="26"/>
                <w:szCs w:val="26"/>
              </w:rPr>
            </w:pPr>
            <w:r>
              <w:rPr>
                <w:rFonts w:hint="eastAsia" w:ascii="Helvetica Neue" w:hAnsi="Helvetica Neue" w:eastAsia="PingFang SC" w:cs="Helvetica Neue"/>
                <w:kern w:val="0"/>
                <w:sz w:val="26"/>
                <w:szCs w:val="26"/>
              </w:rPr>
              <w:t>8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9998F47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待选歌曲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231A7907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待定</w:t>
            </w:r>
          </w:p>
        </w:tc>
        <w:tc>
          <w:tcPr>
            <w:tcW w:w="216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</w:tcPr>
          <w:p w14:paraId="49A1BA0A">
            <w:pPr>
              <w:autoSpaceDE w:val="0"/>
              <w:autoSpaceDN w:val="0"/>
              <w:adjustRightInd w:val="0"/>
              <w:spacing w:after="0" w:line="240" w:lineRule="auto"/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kern w:val="0"/>
                <w:sz w:val="26"/>
                <w:szCs w:val="26"/>
              </w:rPr>
              <w:t>待定</w:t>
            </w:r>
          </w:p>
        </w:tc>
      </w:tr>
    </w:tbl>
    <w:p w14:paraId="4437C0C3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说明：最终曲目顺序将根据排练效果、现场节奏和整体时长统筹安排。</w:t>
      </w:r>
    </w:p>
    <w:p w14:paraId="29EAD60D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31228910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七、现场流程设计</w:t>
      </w:r>
    </w:p>
    <w:p w14:paraId="14F10A93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开场介绍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 由主持人或乐队成员进行简短开场，介绍活动背景、乐队成立情况及本次音乐会意义。</w:t>
      </w:r>
    </w:p>
    <w:p w14:paraId="7E2F621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节目演出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 按照既定歌单依次进行表演。</w:t>
      </w:r>
    </w:p>
    <w:p w14:paraId="7AD42C5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歌曲衔接设计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 每首歌曲之间安排简短介绍，包括歌曲背景、演唱感受或与校园生活相关的话题，增强观众参与感与现场氛围。</w:t>
      </w:r>
    </w:p>
    <w:p w14:paraId="38B68AE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互动环节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 在演出过程中设置适度互动，如邀请观众合唱、鼓掌配合、简单交流等，活跃气氛，但不过度延长时间，确保现场秩序。</w:t>
      </w:r>
    </w:p>
    <w:p w14:paraId="4DFAC243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结尾环节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 由乐队成员感谢老师和观众支持，进行合照并有序结束活动。</w:t>
      </w:r>
    </w:p>
    <w:p w14:paraId="27FB6D17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7394E2A5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八、宣传方案</w:t>
      </w:r>
    </w:p>
    <w:p w14:paraId="31C7C53C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1. 宣传方式</w:t>
      </w:r>
    </w:p>
    <w:p w14:paraId="57E65AD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邮件宣传</w:t>
      </w:r>
    </w:p>
    <w:p w14:paraId="3B381EA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书院、楼层微信群宣传</w:t>
      </w:r>
    </w:p>
    <w:p w14:paraId="72FDEFF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朋友圈转发预热</w:t>
      </w:r>
    </w:p>
    <w:p w14:paraId="12EBF97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如条件允许，争取书院公众号推送支持</w:t>
      </w:r>
    </w:p>
    <w:p w14:paraId="01CE84E2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2. 宣传时间安排</w:t>
      </w:r>
    </w:p>
    <w:p w14:paraId="6ACC711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活动前 7 天：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 xml:space="preserve"> 发布首轮预热信息，介绍乐队首秀和活动亮点</w:t>
      </w:r>
    </w:p>
    <w:p w14:paraId="401C93B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活动前 3–5 天：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 xml:space="preserve"> 进行集中宣传，扩大知晓度</w:t>
      </w:r>
    </w:p>
    <w:p w14:paraId="235CDCE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活动当天：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 xml:space="preserve"> 再次提醒，吸引有兴趣同学到场参加</w:t>
      </w:r>
    </w:p>
    <w:p w14:paraId="3C94686F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3. 宣传重点</w:t>
      </w:r>
    </w:p>
    <w:p w14:paraId="2477393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未名乐队首场专场演出</w:t>
      </w:r>
    </w:p>
    <w:p w14:paraId="0CDB23D1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校园青春氛围与轻松交流体验</w:t>
      </w:r>
    </w:p>
    <w:p w14:paraId="4DF9AFD0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免费开放、欢迎同学参与</w:t>
      </w:r>
    </w:p>
    <w:p w14:paraId="7EDAA2D0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24A5071E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九、音量控制与现场影响控制方案</w:t>
      </w:r>
    </w:p>
    <w:p w14:paraId="6A0EBF9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本次活动为书院内部小型音乐会，将严格遵守书院有关场地使用和噪音控制的要求。</w:t>
      </w:r>
    </w:p>
    <w:p w14:paraId="52DA19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活动前将提前与相关老师沟通确认可使用时段，尽量安排在不影响正常学习、休息和公共秩序的时间段开展。</w:t>
      </w:r>
    </w:p>
    <w:p w14:paraId="141785F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演出期间将以</w:t>
      </w: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适中音量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进行，不追求高分贝舞台效果，重点保证演出清晰度与现场体验。</w:t>
      </w:r>
    </w:p>
    <w:p w14:paraId="657B548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乐队将在正式开始前完成设备调试，缩短高音量试音时间，避免长时间持续噪声。</w:t>
      </w:r>
    </w:p>
    <w:p w14:paraId="4767C72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如活动室周边存在会议或休息需求，将根据老师意见进一步压低音量或调整流程。</w:t>
      </w:r>
    </w:p>
    <w:p w14:paraId="734F9E12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活动全程安排专人关注现场音量与秩序，如发现音量偏高、影响周边等情况，及时提醒并调整。</w:t>
      </w:r>
    </w:p>
    <w:p w14:paraId="50700B41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活动结束后将第一时间关闭设备、恢复安静环境，避免对周边造成持续影响。</w:t>
      </w:r>
    </w:p>
    <w:p w14:paraId="756C9A0C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625EAB9A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十、安全保障与应急预案</w:t>
      </w:r>
    </w:p>
    <w:p w14:paraId="64EA2CDA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1. 现场秩序维护方案</w:t>
      </w:r>
    </w:p>
    <w:p w14:paraId="06C79558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严格控制现场人数，确保</w:t>
      </w: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不超过活动室安全容纳人数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>。</w:t>
      </w:r>
    </w:p>
    <w:p w14:paraId="31B904E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观众入场后有序就座或站立，不拥挤、不追逐打闹。</w:t>
      </w:r>
    </w:p>
    <w:p w14:paraId="21FD9A50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演出区域与设备区域适当分开，提醒观众不要随意触碰乐器、电线和音响设备。</w:t>
      </w:r>
    </w:p>
    <w:p w14:paraId="1915AFB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安排专人负责现场秩序维护，及时处理突发的小范围拥挤、围观和走动问题。</w:t>
      </w:r>
    </w:p>
    <w:p w14:paraId="7003430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如现场人数接近上限，将视情况采取暂停进场、分散站位等措施，优先保障安全。</w:t>
      </w:r>
    </w:p>
    <w:p w14:paraId="482FD9FB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2. 设备故障应急预案</w:t>
      </w:r>
    </w:p>
    <w:p w14:paraId="6ECA5C0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活动开始前至少提前完成设备连接与调试，检查麦克风、音箱、电源、线材等是否正常。</w:t>
      </w:r>
    </w:p>
    <w:p w14:paraId="643A782D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现场安排设备协助人员，负责设备运行观察和临时处理。</w:t>
      </w:r>
    </w:p>
    <w:p w14:paraId="32213030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如演出过程中出现麦克风无声、线材松动、伴奏或乐器连接异常等情况，优先由设备协助人员迅速排查。</w:t>
      </w:r>
    </w:p>
    <w:p w14:paraId="3E42731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如短时间内无法恢复，可临时调整节目顺序，先进行其他节目或简短互动，避免现场中断过久。</w:t>
      </w:r>
    </w:p>
    <w:p w14:paraId="1646D290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如设备问题较严重，则视情况简化演出形式，确保活动安全、平稳结束。</w:t>
      </w:r>
    </w:p>
    <w:p w14:paraId="3608AC8A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3. 人数异常预案</w:t>
      </w:r>
    </w:p>
    <w:p w14:paraId="05CFF5E4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观众人数较少时：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 xml:space="preserve"> 按原计划正常开展，通过成员介绍、互动交流、合唱等方式增强现场氛围。</w:t>
      </w:r>
    </w:p>
    <w:p w14:paraId="1618D1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b/>
          <w:bCs/>
          <w:kern w:val="0"/>
          <w:sz w:val="26"/>
          <w:szCs w:val="26"/>
        </w:rPr>
        <w:t>观众人数较多时：</w:t>
      </w:r>
      <w:r>
        <w:rPr>
          <w:rFonts w:ascii="Helvetica Neue" w:hAnsi="Helvetica Neue" w:eastAsia="PingFang SC" w:cs="Helvetica Neue"/>
          <w:kern w:val="0"/>
          <w:sz w:val="26"/>
          <w:szCs w:val="26"/>
        </w:rPr>
        <w:t xml:space="preserve"> 由现场秩序维护人员及时引导分散站位，必要时限制继续进场，确保通道畅通和场地安全。</w:t>
      </w:r>
    </w:p>
    <w:p w14:paraId="5127BCE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若现场出现拥挤或围堵设备区情况，工作人员及时提醒并疏导。</w:t>
      </w:r>
    </w:p>
    <w:p w14:paraId="7C87F157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4. 成员缺席应急预案</w:t>
      </w:r>
    </w:p>
    <w:p w14:paraId="0642929E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演出前做好节目灵活调整预案。</w:t>
      </w:r>
    </w:p>
    <w:p w14:paraId="42FF5C30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如个别成员因特殊情况无法参加，可根据情况临时减少部分曲目，或将个别节目改为弹唱、小组合演等形式。</w:t>
      </w:r>
    </w:p>
    <w:p w14:paraId="59807E6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总体上坚持“保证活动完整进行、优先保障演出质量和现场秩序”的原则。</w:t>
      </w:r>
    </w:p>
    <w:p w14:paraId="317DC42E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5. 突发情况处理</w:t>
      </w:r>
    </w:p>
    <w:p w14:paraId="40DBEA3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如出现现场秩序混乱、设备存在安全隐患、周边反映噪音过大等情况，负责人将第一时间协调处理。</w:t>
      </w:r>
    </w:p>
    <w:p w14:paraId="4FB5CB40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必要时根据老师或场地管理要求，及时暂停或提前结束活动。</w:t>
      </w:r>
    </w:p>
    <w:p w14:paraId="0C432CB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所有成员和工作人员应听从总负责人统一指挥，避免个人随意处理引发混乱。</w:t>
      </w:r>
    </w:p>
    <w:p w14:paraId="081759DA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02DEACDB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十一、活动结束后场地恢复安排</w:t>
      </w:r>
    </w:p>
    <w:p w14:paraId="339A0AE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演出结束后，由全体成员和场务人员共同完成设备拆除与整理。</w:t>
      </w:r>
    </w:p>
    <w:p w14:paraId="37A1F6E0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清理现场垃圾，带走个人物品与演出相关物料。</w:t>
      </w:r>
    </w:p>
    <w:p w14:paraId="5B88B28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将桌椅、场地布置恢复至活动前状态。</w:t>
      </w:r>
    </w:p>
    <w:p w14:paraId="26351BD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检查电源、插线板、音响等是否关闭，确保无安全隐患。</w:t>
      </w:r>
    </w:p>
    <w:p w14:paraId="5E79CF2F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eastAsia="PingFang SC" w:cs="Helvetica Neue"/>
          <w:kern w:val="0"/>
          <w:sz w:val="26"/>
          <w:szCs w:val="26"/>
        </w:rPr>
      </w:pPr>
      <w:r>
        <w:rPr>
          <w:rFonts w:ascii="Helvetica Neue" w:hAnsi="Helvetica Neue" w:eastAsia="PingFang SC" w:cs="Helvetica Neue"/>
          <w:kern w:val="0"/>
          <w:sz w:val="26"/>
          <w:szCs w:val="26"/>
        </w:rPr>
        <w:t>由总负责人进行最终检查，确认场地整洁、设施完好后离场。</w:t>
      </w:r>
    </w:p>
    <w:p w14:paraId="020E343E">
      <w:pPr>
        <w:autoSpaceDE w:val="0"/>
        <w:autoSpaceDN w:val="0"/>
        <w:adjustRightInd w:val="0"/>
        <w:spacing w:after="0" w:line="240" w:lineRule="auto"/>
        <w:rPr>
          <w:rFonts w:ascii="Helvetica Neue" w:hAnsi="Helvetica Neue" w:eastAsia="PingFang SC" w:cs="Helvetica Neue"/>
          <w:kern w:val="0"/>
          <w:sz w:val="26"/>
          <w:szCs w:val="26"/>
        </w:rPr>
      </w:pPr>
    </w:p>
    <w:p w14:paraId="75F6CCCB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十二、需要后续补充的内容</w:t>
      </w:r>
    </w:p>
    <w:p w14:paraId="181B7047">
      <w:pPr>
        <w:autoSpaceDE w:val="0"/>
        <w:autoSpaceDN w:val="0"/>
        <w:adjustRightInd w:val="0"/>
        <w:spacing w:after="40" w:line="240" w:lineRule="auto"/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eastAsia="PingFang SC" w:cs="Helvetica Neue"/>
          <w:b/>
          <w:bCs/>
          <w:kern w:val="0"/>
          <w:sz w:val="32"/>
          <w:szCs w:val="32"/>
        </w:rPr>
        <w:t>1. 设备清单</w:t>
      </w:r>
    </w:p>
    <w:p w14:paraId="6FAF06D1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一、乐队成员自带设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备</w:t>
      </w:r>
    </w:p>
    <w:p w14:paraId="28A57484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1.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主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唱</w:t>
      </w:r>
    </w:p>
    <w:p w14:paraId="6E73B7B4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手机</w:t>
      </w:r>
      <w:r>
        <w:rPr>
          <w:rFonts w:ascii="Times New Roman" w:hAnsi="Times New Roman" w:eastAsia="Times New Roman" w:cs="Times New Roman"/>
          <w:kern w:val="0"/>
          <w:sz w:val="24"/>
        </w:rPr>
        <w:t>/</w:t>
      </w:r>
      <w:r>
        <w:rPr>
          <w:rFonts w:hint="eastAsia" w:ascii="宋体" w:hAnsi="宋体" w:eastAsia="宋体" w:cs="宋体"/>
          <w:kern w:val="0"/>
          <w:sz w:val="24"/>
        </w:rPr>
        <w:t>平板（如需查看歌词</w:t>
      </w:r>
      <w:r>
        <w:rPr>
          <w:rFonts w:ascii="宋体" w:hAnsi="宋体" w:eastAsia="宋体" w:cs="宋体"/>
          <w:kern w:val="0"/>
          <w:sz w:val="24"/>
        </w:rPr>
        <w:t>）</w:t>
      </w:r>
    </w:p>
    <w:p w14:paraId="685B66BB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歌词夹或简易支架（如需要</w:t>
      </w:r>
      <w:r>
        <w:rPr>
          <w:rFonts w:ascii="宋体" w:hAnsi="宋体" w:eastAsia="宋体" w:cs="宋体"/>
          <w:kern w:val="0"/>
          <w:sz w:val="24"/>
        </w:rPr>
        <w:t>）</w:t>
      </w:r>
    </w:p>
    <w:p w14:paraId="1580F4F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饮用水等个人用</w:t>
      </w:r>
      <w:r>
        <w:rPr>
          <w:rFonts w:ascii="宋体" w:hAnsi="宋体" w:eastAsia="宋体" w:cs="宋体"/>
          <w:kern w:val="0"/>
          <w:sz w:val="24"/>
        </w:rPr>
        <w:t>品</w:t>
      </w:r>
    </w:p>
    <w:p w14:paraId="0F428A31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2.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主音吉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他</w:t>
      </w:r>
    </w:p>
    <w:p w14:paraId="06BC20D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电吉他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 </w:t>
      </w:r>
      <w:r>
        <w:rPr>
          <w:rFonts w:ascii="宋体" w:hAnsi="宋体" w:eastAsia="宋体" w:cs="宋体"/>
          <w:kern w:val="0"/>
          <w:sz w:val="24"/>
        </w:rPr>
        <w:t>把</w:t>
      </w:r>
    </w:p>
    <w:p w14:paraId="7A44A3EE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吉他连接</w:t>
      </w:r>
      <w:r>
        <w:rPr>
          <w:rFonts w:ascii="宋体" w:hAnsi="宋体" w:eastAsia="宋体" w:cs="宋体"/>
          <w:kern w:val="0"/>
          <w:sz w:val="24"/>
        </w:rPr>
        <w:t>线</w:t>
      </w:r>
      <w:r>
        <w:rPr>
          <w:rFonts w:hint="eastAsia" w:ascii="宋体" w:hAnsi="宋体" w:eastAsia="宋体" w:cs="宋体"/>
          <w:kern w:val="0"/>
          <w:sz w:val="24"/>
        </w:rPr>
        <w:t>*1</w:t>
      </w:r>
    </w:p>
    <w:p w14:paraId="3651DAC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综合效果器</w:t>
      </w:r>
    </w:p>
    <w:p w14:paraId="7D42946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效果器电源</w:t>
      </w:r>
      <w:r>
        <w:rPr>
          <w:rFonts w:ascii="Times New Roman" w:hAnsi="Times New Roman" w:eastAsia="Times New Roman" w:cs="Times New Roman"/>
          <w:kern w:val="0"/>
          <w:sz w:val="24"/>
        </w:rPr>
        <w:t>/</w:t>
      </w:r>
      <w:r>
        <w:rPr>
          <w:rFonts w:hint="eastAsia" w:ascii="宋体" w:hAnsi="宋体" w:eastAsia="宋体" w:cs="宋体"/>
          <w:kern w:val="0"/>
          <w:sz w:val="24"/>
        </w:rPr>
        <w:t>适配</w:t>
      </w:r>
      <w:r>
        <w:rPr>
          <w:rFonts w:ascii="宋体" w:hAnsi="宋体" w:eastAsia="宋体" w:cs="宋体"/>
          <w:kern w:val="0"/>
          <w:sz w:val="24"/>
        </w:rPr>
        <w:t>器</w:t>
      </w:r>
    </w:p>
    <w:p w14:paraId="7E440F4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拨</w:t>
      </w:r>
      <w:r>
        <w:rPr>
          <w:rFonts w:ascii="宋体" w:hAnsi="宋体" w:eastAsia="宋体" w:cs="宋体"/>
          <w:kern w:val="0"/>
          <w:sz w:val="24"/>
        </w:rPr>
        <w:t>片</w:t>
      </w:r>
    </w:p>
    <w:p w14:paraId="140B0B4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吉他背</w:t>
      </w:r>
      <w:r>
        <w:rPr>
          <w:rFonts w:ascii="宋体" w:hAnsi="宋体" w:eastAsia="宋体" w:cs="宋体"/>
          <w:kern w:val="0"/>
          <w:sz w:val="24"/>
        </w:rPr>
        <w:t>带</w:t>
      </w:r>
    </w:p>
    <w:p w14:paraId="06BD9A9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调音</w:t>
      </w:r>
      <w:r>
        <w:rPr>
          <w:rFonts w:ascii="宋体" w:hAnsi="宋体" w:eastAsia="宋体" w:cs="宋体"/>
          <w:kern w:val="0"/>
          <w:sz w:val="24"/>
        </w:rPr>
        <w:t>器</w:t>
      </w:r>
    </w:p>
    <w:p w14:paraId="32DF3704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3.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节奏吉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他</w:t>
      </w:r>
    </w:p>
    <w:p w14:paraId="384E70D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电吉他或电箱琴各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1 </w:t>
      </w:r>
      <w:r>
        <w:rPr>
          <w:rFonts w:ascii="宋体" w:hAnsi="宋体" w:eastAsia="宋体" w:cs="宋体"/>
          <w:kern w:val="0"/>
          <w:sz w:val="24"/>
        </w:rPr>
        <w:t>把</w:t>
      </w:r>
    </w:p>
    <w:p w14:paraId="344BC08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乐器连接</w:t>
      </w:r>
      <w:r>
        <w:rPr>
          <w:rFonts w:ascii="宋体" w:hAnsi="宋体" w:eastAsia="宋体" w:cs="宋体"/>
          <w:kern w:val="0"/>
          <w:sz w:val="24"/>
        </w:rPr>
        <w:t>线</w:t>
      </w:r>
      <w:r>
        <w:rPr>
          <w:rFonts w:hint="eastAsia" w:ascii="宋体" w:hAnsi="宋体" w:eastAsia="宋体" w:cs="宋体"/>
          <w:kern w:val="0"/>
          <w:sz w:val="24"/>
        </w:rPr>
        <w:t>*1</w:t>
      </w:r>
    </w:p>
    <w:p w14:paraId="5925950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软效（电脑）</w:t>
      </w:r>
    </w:p>
    <w:p w14:paraId="11D3A1F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声卡</w:t>
      </w:r>
    </w:p>
    <w:p w14:paraId="7EF92178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拨</w:t>
      </w:r>
      <w:r>
        <w:rPr>
          <w:rFonts w:ascii="宋体" w:hAnsi="宋体" w:eastAsia="宋体" w:cs="宋体"/>
          <w:kern w:val="0"/>
          <w:sz w:val="24"/>
        </w:rPr>
        <w:t>片</w:t>
      </w:r>
    </w:p>
    <w:p w14:paraId="3686074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吉他背</w:t>
      </w:r>
      <w:r>
        <w:rPr>
          <w:rFonts w:ascii="宋体" w:hAnsi="宋体" w:eastAsia="宋体" w:cs="宋体"/>
          <w:kern w:val="0"/>
          <w:sz w:val="24"/>
        </w:rPr>
        <w:t>带</w:t>
      </w:r>
    </w:p>
    <w:p w14:paraId="4ED142D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调音</w:t>
      </w:r>
      <w:r>
        <w:rPr>
          <w:rFonts w:ascii="宋体" w:hAnsi="宋体" w:eastAsia="宋体" w:cs="宋体"/>
          <w:kern w:val="0"/>
          <w:sz w:val="24"/>
        </w:rPr>
        <w:t>器</w:t>
      </w:r>
    </w:p>
    <w:p w14:paraId="4CFD55F1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4.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贝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斯</w:t>
      </w:r>
    </w:p>
    <w:p w14:paraId="2DD6EEB8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贝斯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 </w:t>
      </w:r>
      <w:r>
        <w:rPr>
          <w:rFonts w:ascii="宋体" w:hAnsi="宋体" w:eastAsia="宋体" w:cs="宋体"/>
          <w:kern w:val="0"/>
          <w:sz w:val="24"/>
        </w:rPr>
        <w:t>把</w:t>
      </w:r>
    </w:p>
    <w:p w14:paraId="2990DF7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贝斯连接</w:t>
      </w:r>
      <w:r>
        <w:rPr>
          <w:rFonts w:ascii="宋体" w:hAnsi="宋体" w:eastAsia="宋体" w:cs="宋体"/>
          <w:kern w:val="0"/>
          <w:sz w:val="24"/>
        </w:rPr>
        <w:t>线</w:t>
      </w:r>
    </w:p>
    <w:p w14:paraId="35D98A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贝斯背</w:t>
      </w:r>
      <w:r>
        <w:rPr>
          <w:rFonts w:ascii="宋体" w:hAnsi="宋体" w:eastAsia="宋体" w:cs="宋体"/>
          <w:kern w:val="0"/>
          <w:sz w:val="24"/>
        </w:rPr>
        <w:t>带</w:t>
      </w:r>
    </w:p>
    <w:p w14:paraId="75AEF1F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调音</w:t>
      </w:r>
      <w:r>
        <w:rPr>
          <w:rFonts w:ascii="宋体" w:hAnsi="宋体" w:eastAsia="宋体" w:cs="宋体"/>
          <w:kern w:val="0"/>
          <w:sz w:val="24"/>
        </w:rPr>
        <w:t>器</w:t>
      </w:r>
    </w:p>
    <w:p w14:paraId="5385E84C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5.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键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盘</w:t>
      </w:r>
    </w:p>
    <w:p w14:paraId="532D9BC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延音踏板</w:t>
      </w:r>
    </w:p>
    <w:p w14:paraId="17BDF7EA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 xml:space="preserve">6.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鼓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手</w:t>
      </w:r>
    </w:p>
    <w:p w14:paraId="6DDC7E9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鼓</w:t>
      </w:r>
      <w:r>
        <w:rPr>
          <w:rFonts w:ascii="宋体" w:hAnsi="宋体" w:eastAsia="宋体" w:cs="宋体"/>
          <w:kern w:val="0"/>
          <w:sz w:val="24"/>
        </w:rPr>
        <w:t>槌</w:t>
      </w:r>
    </w:p>
    <w:p w14:paraId="3EF10B45">
      <w:pPr>
        <w:widowControl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二、从学生活动中心协调搬运的设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备</w:t>
      </w:r>
    </w:p>
    <w:p w14:paraId="404A3AB2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1.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扩声设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备</w:t>
      </w:r>
    </w:p>
    <w:p w14:paraId="7ABA965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主音箱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2 </w:t>
      </w:r>
      <w:r>
        <w:rPr>
          <w:rFonts w:ascii="宋体" w:hAnsi="宋体" w:eastAsia="宋体" w:cs="宋体"/>
          <w:kern w:val="0"/>
          <w:sz w:val="24"/>
        </w:rPr>
        <w:t>只</w:t>
      </w:r>
    </w:p>
    <w:p w14:paraId="6326024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返听音箱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</w:t>
      </w:r>
      <w:r>
        <w:rPr>
          <w:rFonts w:ascii="宋体" w:hAnsi="宋体" w:eastAsia="宋体" w:cs="宋体"/>
          <w:kern w:val="0"/>
          <w:sz w:val="24"/>
        </w:rPr>
        <w:t>只</w:t>
      </w:r>
    </w:p>
    <w:p w14:paraId="4432886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调音台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 </w:t>
      </w:r>
      <w:r>
        <w:rPr>
          <w:rFonts w:ascii="宋体" w:hAnsi="宋体" w:eastAsia="宋体" w:cs="宋体"/>
          <w:kern w:val="0"/>
          <w:sz w:val="24"/>
        </w:rPr>
        <w:t>台</w:t>
      </w:r>
    </w:p>
    <w:p w14:paraId="61A7C81C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音箱连接</w:t>
      </w:r>
      <w:r>
        <w:rPr>
          <w:rFonts w:ascii="宋体" w:hAnsi="宋体" w:eastAsia="宋体" w:cs="宋体"/>
          <w:kern w:val="0"/>
          <w:sz w:val="24"/>
        </w:rPr>
        <w:t>线</w:t>
      </w:r>
    </w:p>
    <w:p w14:paraId="7CB4BB33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电源</w:t>
      </w:r>
      <w:r>
        <w:rPr>
          <w:rFonts w:ascii="宋体" w:hAnsi="宋体" w:eastAsia="宋体" w:cs="宋体"/>
          <w:kern w:val="0"/>
          <w:sz w:val="24"/>
        </w:rPr>
        <w:t>线</w:t>
      </w:r>
    </w:p>
    <w:p w14:paraId="3C7E9C59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2.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人声设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备</w:t>
      </w:r>
    </w:p>
    <w:p w14:paraId="6040CFE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人声麦克风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2 </w:t>
      </w:r>
      <w:r>
        <w:rPr>
          <w:rFonts w:ascii="宋体" w:hAnsi="宋体" w:eastAsia="宋体" w:cs="宋体"/>
          <w:kern w:val="0"/>
          <w:sz w:val="24"/>
        </w:rPr>
        <w:t>支</w:t>
      </w:r>
    </w:p>
    <w:p w14:paraId="3173EAD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备用麦克风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 </w:t>
      </w:r>
      <w:r>
        <w:rPr>
          <w:rFonts w:ascii="宋体" w:hAnsi="宋体" w:eastAsia="宋体" w:cs="宋体"/>
          <w:kern w:val="0"/>
          <w:sz w:val="24"/>
        </w:rPr>
        <w:t>支</w:t>
      </w:r>
    </w:p>
    <w:p w14:paraId="4706115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麦克风支架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3–4 </w:t>
      </w:r>
      <w:r>
        <w:rPr>
          <w:rFonts w:ascii="宋体" w:hAnsi="宋体" w:eastAsia="宋体" w:cs="宋体"/>
          <w:kern w:val="0"/>
          <w:sz w:val="24"/>
        </w:rPr>
        <w:t>个</w:t>
      </w:r>
    </w:p>
    <w:p w14:paraId="0B7D3D1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麦克风连接线若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5E9D2F36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3.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乐器设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备</w:t>
      </w:r>
    </w:p>
    <w:p w14:paraId="4F2909A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</w:rPr>
        <w:t xml:space="preserve">DI </w:t>
      </w:r>
      <w:r>
        <w:rPr>
          <w:rFonts w:hint="eastAsia" w:ascii="宋体" w:hAnsi="宋体" w:eastAsia="宋体" w:cs="宋体"/>
          <w:kern w:val="0"/>
          <w:sz w:val="24"/>
        </w:rPr>
        <w:t>盒若干</w:t>
      </w:r>
    </w:p>
    <w:p w14:paraId="7463254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卡农线若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1A98F83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谱架若干</w:t>
      </w:r>
    </w:p>
    <w:p w14:paraId="7976580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乐器支架（吉他架）</w:t>
      </w:r>
    </w:p>
    <w:p w14:paraId="4C1BD16B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键盘1台</w:t>
      </w:r>
    </w:p>
    <w:p w14:paraId="623DDDCB">
      <w:pPr>
        <w:pStyle w:val="12"/>
        <w:numPr>
          <w:ilvl w:val="0"/>
          <w:numId w:val="26"/>
        </w:numPr>
      </w:pPr>
      <w:r>
        <w:rPr>
          <w:rFonts w:hint="eastAsia" w:ascii="宋体" w:hAnsi="宋体" w:eastAsia="宋体" w:cs="宋体"/>
        </w:rPr>
        <w:t>键盘电源适配器</w:t>
      </w:r>
    </w:p>
    <w:p w14:paraId="7A72B279">
      <w:pPr>
        <w:pStyle w:val="12"/>
        <w:numPr>
          <w:ilvl w:val="0"/>
          <w:numId w:val="26"/>
        </w:numPr>
      </w:pPr>
      <w:r>
        <w:rPr>
          <w:rFonts w:hint="eastAsia" w:ascii="宋体" w:hAnsi="宋体" w:eastAsia="宋体" w:cs="宋体"/>
        </w:rPr>
        <w:t>键盘输出线</w:t>
      </w:r>
    </w:p>
    <w:p w14:paraId="1D35C438">
      <w:pPr>
        <w:pStyle w:val="12"/>
        <w:numPr>
          <w:ilvl w:val="0"/>
          <w:numId w:val="26"/>
        </w:numPr>
      </w:pPr>
      <w:r>
        <w:rPr>
          <w:rFonts w:hint="eastAsia" w:ascii="宋体" w:hAnsi="宋体" w:eastAsia="宋体" w:cs="宋体"/>
        </w:rPr>
        <w:t>键盘支架</w:t>
      </w:r>
    </w:p>
    <w:p w14:paraId="32B5605A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架子鼓</w:t>
      </w:r>
      <w:r>
        <w:rPr>
          <w:rFonts w:ascii="Times New Roman" w:hAnsi="Times New Roman" w:eastAsia="Times New Roman" w:cs="Times New Roman"/>
          <w:kern w:val="0"/>
          <w:sz w:val="24"/>
        </w:rPr>
        <w:t xml:space="preserve"> 1 </w:t>
      </w:r>
      <w:r>
        <w:rPr>
          <w:rFonts w:ascii="宋体" w:hAnsi="宋体" w:eastAsia="宋体" w:cs="宋体"/>
          <w:kern w:val="0"/>
          <w:sz w:val="24"/>
        </w:rPr>
        <w:t>套（可考虑电子鼓）</w:t>
      </w:r>
    </w:p>
    <w:p w14:paraId="733E258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鼓组支架配</w:t>
      </w:r>
      <w:r>
        <w:rPr>
          <w:rFonts w:ascii="宋体" w:hAnsi="宋体" w:eastAsia="宋体" w:cs="宋体"/>
          <w:kern w:val="0"/>
          <w:sz w:val="24"/>
        </w:rPr>
        <w:t>件</w:t>
      </w:r>
    </w:p>
    <w:p w14:paraId="323274CD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5.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供电和布线设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备</w:t>
      </w:r>
    </w:p>
    <w:p w14:paraId="54B79E5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插线板若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2342161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延长线若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395764A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排插若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68BE0A4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转接头若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5D9D1FE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绝缘胶带</w:t>
      </w:r>
      <w:r>
        <w:rPr>
          <w:rFonts w:ascii="Times New Roman" w:hAnsi="Times New Roman" w:eastAsia="Times New Roman" w:cs="Times New Roman"/>
          <w:kern w:val="0"/>
          <w:sz w:val="24"/>
        </w:rPr>
        <w:t>/</w:t>
      </w:r>
      <w:r>
        <w:rPr>
          <w:rFonts w:hint="eastAsia" w:ascii="宋体" w:hAnsi="宋体" w:eastAsia="宋体" w:cs="宋体"/>
          <w:kern w:val="0"/>
          <w:sz w:val="24"/>
        </w:rPr>
        <w:t>地线胶</w:t>
      </w:r>
      <w:r>
        <w:rPr>
          <w:rFonts w:ascii="宋体" w:hAnsi="宋体" w:eastAsia="宋体" w:cs="宋体"/>
          <w:kern w:val="0"/>
          <w:sz w:val="24"/>
        </w:rPr>
        <w:t>带</w:t>
      </w:r>
    </w:p>
    <w:p w14:paraId="6FDEDB0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扎带若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5384A4A2">
      <w:pPr>
        <w:widowControl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三、现场辅助物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资</w:t>
      </w:r>
    </w:p>
    <w:p w14:paraId="22ACAAA7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1.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演出辅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助</w:t>
      </w:r>
    </w:p>
    <w:p w14:paraId="551B8D4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节目</w:t>
      </w:r>
      <w:r>
        <w:rPr>
          <w:rFonts w:ascii="宋体" w:hAnsi="宋体" w:eastAsia="宋体" w:cs="宋体"/>
          <w:kern w:val="0"/>
          <w:sz w:val="24"/>
        </w:rPr>
        <w:t>单</w:t>
      </w:r>
    </w:p>
    <w:p w14:paraId="1D08AB8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流程</w:t>
      </w:r>
      <w:r>
        <w:rPr>
          <w:rFonts w:ascii="宋体" w:hAnsi="宋体" w:eastAsia="宋体" w:cs="宋体"/>
          <w:kern w:val="0"/>
          <w:sz w:val="24"/>
        </w:rPr>
        <w:t>单</w:t>
      </w:r>
    </w:p>
    <w:p w14:paraId="70A80FE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主持稿</w:t>
      </w:r>
      <w:r>
        <w:rPr>
          <w:rFonts w:ascii="Times New Roman" w:hAnsi="Times New Roman" w:eastAsia="Times New Roman" w:cs="Times New Roman"/>
          <w:kern w:val="0"/>
          <w:sz w:val="24"/>
        </w:rPr>
        <w:t>/</w:t>
      </w:r>
      <w:r>
        <w:rPr>
          <w:rFonts w:hint="eastAsia" w:ascii="宋体" w:hAnsi="宋体" w:eastAsia="宋体" w:cs="宋体"/>
          <w:kern w:val="0"/>
          <w:sz w:val="24"/>
        </w:rPr>
        <w:t>串场提</w:t>
      </w:r>
      <w:r>
        <w:rPr>
          <w:rFonts w:ascii="宋体" w:hAnsi="宋体" w:eastAsia="宋体" w:cs="宋体"/>
          <w:kern w:val="0"/>
          <w:sz w:val="24"/>
        </w:rPr>
        <w:t>示</w:t>
      </w:r>
    </w:p>
    <w:p w14:paraId="7A764EC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矿泉</w:t>
      </w:r>
      <w:r>
        <w:rPr>
          <w:rFonts w:ascii="宋体" w:hAnsi="宋体" w:eastAsia="宋体" w:cs="宋体"/>
          <w:kern w:val="0"/>
          <w:sz w:val="24"/>
        </w:rPr>
        <w:t>水</w:t>
      </w:r>
    </w:p>
    <w:p w14:paraId="27B8337B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纸</w:t>
      </w:r>
      <w:r>
        <w:rPr>
          <w:rFonts w:ascii="宋体" w:hAnsi="宋体" w:eastAsia="宋体" w:cs="宋体"/>
          <w:kern w:val="0"/>
          <w:sz w:val="24"/>
        </w:rPr>
        <w:t>巾</w:t>
      </w:r>
    </w:p>
    <w:p w14:paraId="7CB2F8C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插线板</w:t>
      </w:r>
    </w:p>
    <w:p w14:paraId="600AA1D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9v电池</w:t>
      </w:r>
    </w:p>
    <w:p w14:paraId="609BC8C7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</w:rPr>
        <w:t xml:space="preserve">2.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场务辅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助</w:t>
      </w:r>
    </w:p>
    <w:p w14:paraId="537264FD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桌椅若</w:t>
      </w:r>
      <w:r>
        <w:rPr>
          <w:rFonts w:ascii="宋体" w:hAnsi="宋体" w:eastAsia="宋体" w:cs="宋体"/>
          <w:kern w:val="0"/>
          <w:sz w:val="24"/>
        </w:rPr>
        <w:t>干</w:t>
      </w:r>
    </w:p>
    <w:p w14:paraId="669930EC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摄影设备</w:t>
      </w:r>
      <w:r>
        <w:rPr>
          <w:rFonts w:ascii="Times New Roman" w:hAnsi="Times New Roman" w:eastAsia="Times New Roman" w:cs="Times New Roman"/>
          <w:kern w:val="0"/>
          <w:sz w:val="24"/>
        </w:rPr>
        <w:t>/</w:t>
      </w:r>
      <w:r>
        <w:rPr>
          <w:rFonts w:hint="eastAsia" w:ascii="宋体" w:hAnsi="宋体" w:eastAsia="宋体" w:cs="宋体"/>
          <w:kern w:val="0"/>
          <w:sz w:val="24"/>
        </w:rPr>
        <w:t>手机支</w:t>
      </w:r>
      <w:r>
        <w:rPr>
          <w:rFonts w:ascii="宋体" w:hAnsi="宋体" w:eastAsia="宋体" w:cs="宋体"/>
          <w:kern w:val="0"/>
          <w:sz w:val="24"/>
        </w:rPr>
        <w:t>架</w:t>
      </w:r>
    </w:p>
    <w:p w14:paraId="2E2BB4C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hint="eastAsia" w:ascii="Times New Roman" w:hAnsi="Times New Roman" w:eastAsia="Times New Roman" w:cs="Times New Roman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指示</w:t>
      </w:r>
      <w:r>
        <w:rPr>
          <w:rFonts w:ascii="宋体" w:hAnsi="宋体" w:eastAsia="宋体" w:cs="宋体"/>
          <w:kern w:val="0"/>
          <w:sz w:val="24"/>
        </w:rPr>
        <w:t>牌</w:t>
      </w:r>
    </w:p>
    <w:sectPr>
      <w:pgSz w:w="12240" w:h="15840"/>
      <w:pgMar w:top="1440" w:right="1440" w:bottom="1440" w:left="1440" w:header="720" w:footer="72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Sylfae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0" w:usb3="00000000" w:csb0="0004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89AF144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83B89"/>
    <w:multiLevelType w:val="multilevel"/>
    <w:tmpl w:val="02883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2F6604"/>
    <w:multiLevelType w:val="multilevel"/>
    <w:tmpl w:val="062F6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C3416F"/>
    <w:multiLevelType w:val="multilevel"/>
    <w:tmpl w:val="10C3416F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143D2EA5"/>
    <w:multiLevelType w:val="multilevel"/>
    <w:tmpl w:val="143D2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633CD5"/>
    <w:multiLevelType w:val="multilevel"/>
    <w:tmpl w:val="14633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BA5095"/>
    <w:multiLevelType w:val="multilevel"/>
    <w:tmpl w:val="14BA5095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6">
    <w:nsid w:val="20CC572B"/>
    <w:multiLevelType w:val="multilevel"/>
    <w:tmpl w:val="20CC5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272B1A"/>
    <w:multiLevelType w:val="multilevel"/>
    <w:tmpl w:val="24272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4BD2C12"/>
    <w:multiLevelType w:val="multilevel"/>
    <w:tmpl w:val="24BD2C12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9">
    <w:nsid w:val="253A6CD1"/>
    <w:multiLevelType w:val="multilevel"/>
    <w:tmpl w:val="253A6CD1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0">
    <w:nsid w:val="2B300743"/>
    <w:multiLevelType w:val="multilevel"/>
    <w:tmpl w:val="2B30074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1">
    <w:nsid w:val="2BC73F12"/>
    <w:multiLevelType w:val="multilevel"/>
    <w:tmpl w:val="2BC73F12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2">
    <w:nsid w:val="2E3A23BE"/>
    <w:multiLevelType w:val="multilevel"/>
    <w:tmpl w:val="2E3A23B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3">
    <w:nsid w:val="32360FED"/>
    <w:multiLevelType w:val="multilevel"/>
    <w:tmpl w:val="32360FE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4">
    <w:nsid w:val="366203CE"/>
    <w:multiLevelType w:val="multilevel"/>
    <w:tmpl w:val="36620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8711745"/>
    <w:multiLevelType w:val="multilevel"/>
    <w:tmpl w:val="38711745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6">
    <w:nsid w:val="3A9349C8"/>
    <w:multiLevelType w:val="multilevel"/>
    <w:tmpl w:val="3A934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CC2110E"/>
    <w:multiLevelType w:val="multilevel"/>
    <w:tmpl w:val="3CC21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DAD43E6"/>
    <w:multiLevelType w:val="multilevel"/>
    <w:tmpl w:val="3DAD43E6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9">
    <w:nsid w:val="411F0910"/>
    <w:multiLevelType w:val="multilevel"/>
    <w:tmpl w:val="411F0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1493C99"/>
    <w:multiLevelType w:val="multilevel"/>
    <w:tmpl w:val="41493C99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1">
    <w:nsid w:val="41F45E48"/>
    <w:multiLevelType w:val="multilevel"/>
    <w:tmpl w:val="41F45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213136F"/>
    <w:multiLevelType w:val="multilevel"/>
    <w:tmpl w:val="4213136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3">
    <w:nsid w:val="439D1F88"/>
    <w:multiLevelType w:val="multilevel"/>
    <w:tmpl w:val="439D1F88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4">
    <w:nsid w:val="46224A22"/>
    <w:multiLevelType w:val="multilevel"/>
    <w:tmpl w:val="46224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B7803A2"/>
    <w:multiLevelType w:val="multilevel"/>
    <w:tmpl w:val="4B780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D8E084D"/>
    <w:multiLevelType w:val="multilevel"/>
    <w:tmpl w:val="4D8E084D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7">
    <w:nsid w:val="4EC062A9"/>
    <w:multiLevelType w:val="multilevel"/>
    <w:tmpl w:val="4EC062A9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8">
    <w:nsid w:val="61AB1B2F"/>
    <w:multiLevelType w:val="multilevel"/>
    <w:tmpl w:val="61AB1B2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29">
    <w:nsid w:val="7B320118"/>
    <w:multiLevelType w:val="multilevel"/>
    <w:tmpl w:val="7B320118"/>
    <w:lvl w:ilvl="0" w:tentative="0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13"/>
  </w:num>
  <w:num w:numId="2">
    <w:abstractNumId w:val="10"/>
  </w:num>
  <w:num w:numId="3">
    <w:abstractNumId w:val="15"/>
  </w:num>
  <w:num w:numId="4">
    <w:abstractNumId w:val="11"/>
  </w:num>
  <w:num w:numId="5">
    <w:abstractNumId w:val="9"/>
  </w:num>
  <w:num w:numId="6">
    <w:abstractNumId w:val="5"/>
  </w:num>
  <w:num w:numId="7">
    <w:abstractNumId w:val="22"/>
  </w:num>
  <w:num w:numId="8">
    <w:abstractNumId w:val="23"/>
  </w:num>
  <w:num w:numId="9">
    <w:abstractNumId w:val="29"/>
  </w:num>
  <w:num w:numId="10">
    <w:abstractNumId w:val="18"/>
  </w:num>
  <w:num w:numId="11">
    <w:abstractNumId w:val="28"/>
  </w:num>
  <w:num w:numId="12">
    <w:abstractNumId w:val="8"/>
  </w:num>
  <w:num w:numId="13">
    <w:abstractNumId w:val="26"/>
  </w:num>
  <w:num w:numId="14">
    <w:abstractNumId w:val="20"/>
  </w:num>
  <w:num w:numId="15">
    <w:abstractNumId w:val="2"/>
  </w:num>
  <w:num w:numId="16">
    <w:abstractNumId w:val="27"/>
  </w:num>
  <w:num w:numId="17">
    <w:abstractNumId w:val="12"/>
  </w:num>
  <w:num w:numId="18">
    <w:abstractNumId w:val="4"/>
  </w:num>
  <w:num w:numId="19">
    <w:abstractNumId w:val="3"/>
  </w:num>
  <w:num w:numId="20">
    <w:abstractNumId w:val="16"/>
  </w:num>
  <w:num w:numId="21">
    <w:abstractNumId w:val="1"/>
  </w:num>
  <w:num w:numId="22">
    <w:abstractNumId w:val="0"/>
  </w:num>
  <w:num w:numId="23">
    <w:abstractNumId w:val="21"/>
  </w:num>
  <w:num w:numId="24">
    <w:abstractNumId w:val="17"/>
  </w:num>
  <w:num w:numId="25">
    <w:abstractNumId w:val="25"/>
  </w:num>
  <w:num w:numId="26">
    <w:abstractNumId w:val="7"/>
  </w:num>
  <w:num w:numId="27">
    <w:abstractNumId w:val="14"/>
  </w:num>
  <w:num w:numId="28">
    <w:abstractNumId w:val="24"/>
  </w:num>
  <w:num w:numId="29">
    <w:abstractNumId w:val="6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0BD"/>
    <w:rsid w:val="004E50BD"/>
    <w:rsid w:val="005D6E39"/>
    <w:rsid w:val="00C51C15"/>
    <w:rsid w:val="00EA67B2"/>
    <w:rsid w:val="43BB5D4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Droid Sans" w:hAnsi="Droid Sans" w:eastAsia="等线" w:cs="Arial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outlineLvl w:val="0"/>
    </w:pPr>
    <w:rPr>
      <w:rFonts w:eastAsia="等线 Light" w:cs="Times New Roman"/>
      <w:color w:val="0F4761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等线 Light" w:cs="Times New Roman"/>
      <w:color w:val="0F4761"/>
      <w:sz w:val="40"/>
      <w:szCs w:val="40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0F4761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cs="Times New Roman"/>
      <w:color w:val="0F4761"/>
      <w:sz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cs="Times New Roman"/>
      <w:b/>
      <w:bCs/>
      <w:color w:val="0F4761"/>
    </w:rPr>
  </w:style>
  <w:style w:type="paragraph" w:styleId="8">
    <w:name w:val="heading 7"/>
    <w:basedOn w:val="1"/>
    <w:next w:val="1"/>
    <w:uiPriority w:val="0"/>
    <w:pPr>
      <w:keepNext/>
      <w:keepLines/>
      <w:spacing w:before="40" w:after="0"/>
      <w:outlineLvl w:val="6"/>
    </w:pPr>
    <w:rPr>
      <w:rFonts w:cs="Times New Roman"/>
      <w:b/>
      <w:bCs/>
      <w:color w:val="595959"/>
    </w:rPr>
  </w:style>
  <w:style w:type="paragraph" w:styleId="9">
    <w:name w:val="heading 8"/>
    <w:basedOn w:val="1"/>
    <w:next w:val="1"/>
    <w:uiPriority w:val="0"/>
    <w:pPr>
      <w:keepNext/>
      <w:keepLines/>
      <w:spacing w:after="0"/>
      <w:outlineLvl w:val="7"/>
    </w:pPr>
    <w:rPr>
      <w:rFonts w:cs="Times New Roman"/>
      <w:color w:val="595959"/>
    </w:rPr>
  </w:style>
  <w:style w:type="paragraph" w:styleId="10">
    <w:name w:val="heading 9"/>
    <w:basedOn w:val="1"/>
    <w:next w:val="1"/>
    <w:uiPriority w:val="0"/>
    <w:pPr>
      <w:keepNext/>
      <w:keepLines/>
      <w:spacing w:after="0"/>
      <w:outlineLvl w:val="8"/>
    </w:pPr>
    <w:rPr>
      <w:rFonts w:eastAsia="等线 Light" w:cs="Times New Roman"/>
      <w:color w:val="595959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qFormat/>
    <w:uiPriority w:val="11"/>
    <w:pPr>
      <w:jc w:val="center"/>
    </w:pPr>
    <w:rPr>
      <w:rFonts w:eastAsia="等线 Light" w:cs="Times New Roman"/>
      <w:color w:val="595959"/>
      <w:spacing w:val="15"/>
      <w:sz w:val="28"/>
      <w:szCs w:val="28"/>
    </w:rPr>
  </w:style>
  <w:style w:type="paragraph" w:styleId="12">
    <w:name w:val="Normal (Web)"/>
    <w:basedOn w:val="1"/>
    <w:uiPriority w:val="0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</w:rPr>
  </w:style>
  <w:style w:type="paragraph" w:styleId="13">
    <w:name w:val="Title"/>
    <w:basedOn w:val="1"/>
    <w:next w:val="1"/>
    <w:qFormat/>
    <w:uiPriority w:val="10"/>
    <w:pPr>
      <w:spacing w:after="80" w:line="240" w:lineRule="auto"/>
      <w:contextualSpacing/>
      <w:jc w:val="center"/>
    </w:pPr>
    <w:rPr>
      <w:rFonts w:eastAsia="等线 Light" w:cs="Times New Roman"/>
      <w:spacing w:val="-10"/>
      <w:kern w:val="28"/>
      <w:sz w:val="56"/>
      <w:szCs w:val="56"/>
    </w:rPr>
  </w:style>
  <w:style w:type="character" w:styleId="16">
    <w:name w:val="Strong"/>
    <w:basedOn w:val="15"/>
    <w:uiPriority w:val="0"/>
    <w:rPr>
      <w:b/>
      <w:bCs/>
    </w:rPr>
  </w:style>
  <w:style w:type="paragraph" w:customStyle="1" w:styleId="17">
    <w:name w:val="引用1"/>
    <w:basedOn w:val="1"/>
    <w:next w:val="1"/>
    <w:uiPriority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列表段落1"/>
    <w:basedOn w:val="1"/>
    <w:qFormat/>
    <w:uiPriority w:val="0"/>
    <w:pPr>
      <w:ind w:left="720"/>
      <w:contextualSpacing/>
    </w:pPr>
  </w:style>
  <w:style w:type="character" w:customStyle="1" w:styleId="19">
    <w:name w:val="明显强调1"/>
    <w:basedOn w:val="15"/>
    <w:qFormat/>
    <w:uiPriority w:val="0"/>
    <w:rPr>
      <w:i/>
      <w:iCs/>
      <w:color w:val="0F4761"/>
    </w:rPr>
  </w:style>
  <w:style w:type="paragraph" w:customStyle="1" w:styleId="20">
    <w:name w:val="明显引用1"/>
    <w:basedOn w:val="1"/>
    <w:next w:val="1"/>
    <w:qFormat/>
    <w:uiPriority w:val="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明显参考1"/>
    <w:basedOn w:val="15"/>
    <w:uiPriority w:val="0"/>
    <w:rPr>
      <w:b/>
      <w:bCs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1000</Words>
  <Characters>1067</Characters>
  <Lines>212</Lines>
  <Paragraphs>333</Paragraphs>
  <TotalTime>1</TotalTime>
  <ScaleCrop>false</ScaleCrop>
  <LinksUpToDate>false</LinksUpToDate>
  <CharactersWithSpaces>1110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2026-03-15T14:54:00Z</dcterms:created>
  <dc:creator>Yiyang Xiong (SDS,125090792)</dc:creator>
  <cp:lastModifiedBy>WPS_1478574664</cp:lastModifiedBy>
  <dcterms:modified xsi:type="dcterms:W3CDTF">2026-08-07T07:04:28Z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072BA48A67C84B9C9F77F60DBB0019B4_13</vt:lpwstr>
  </property>
</Properties>
</file>