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simple baselines and falsification probes (Figure 3). Mean-effect probes achieved substantial audit-delta Pearson in both K562 and RPE1, while retrieval remained low. GEARS showed modest improvements on some retrieval endpoints,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UER50 increased from 0.1532 to 0.3877, and sign-flip rate increased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decreased by 0.0709 and cosine decreased by 0.1048. Sign-flip rate was worse cross context, while the UER50 interval crossed zero.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v1.3 common-candidate sensitivity using the same 15 matched targets as candidates, MRR was 0.2594 for within-context STATE and 0.2212 for cross-context STATE.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r>
        <w:t>Figure 2. Global expression agreement and perturbation retrieval diverge. GEARS raw-space Pearson and retrieval MRR are shown for frozen Norman and GEARS-compatible filtered Replogle within-context tasks. Pearson is raw expression Pearson in the GEARS output space. MRR measures perturbation-specific retrieval from the declared candidate universe.</w:t>
      </w:r>
    </w:p>
    <w:p>
      <w:r>
        <w:t>Figure 3. Probe controls for within-context Replogle evaluation. GEARS, baselines, and falsification probes are compared on GEARS-compatible filtered Replogle K562 and RPE1 R-L1 tasks. Bars report audit-delta Pearson and retrieval MRR from frozen result tables. Probe performance narrows the supported interpretation of endpoints that can be approached without perturbation-specific information.</w:t>
      </w:r>
    </w:p>
    <w:p>
      <w:r>
        <w:t>Figure 4. Matched-target GEARS context-transfer stress test. Shared-target analysis compares within-context and cross-context audit-delta Pearson for K562-to-RPE1 (n=150 matched targets) and RPE1-to-K562 (n=148 matched targets). Labels show paired drops and perturbation-level bootstrap 95% intervals. Figure 4 uses QC and matched-transfer language only.</w:t>
      </w:r>
    </w:p>
    <w:p>
      <w:r>
        <w:t>Figure 5. STATE shows partial cross-architecture transfer degradation with endpoint heterogeneity. STATE K562-to-RPE1 matched targets (n=15) show lower cross-context audit-delta Pearson, Spearman, and cosine. UER50 has an interval crossing zero, sign-flip rate is worse cross context, and common-candidate retrieval from frozen centroids is reported as an exploratory sensitivity panel.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