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VirtualPerturb-Audit: a falsification framework for perturbation-response model evaluation</w:t>
      </w:r>
    </w:p>
    <w:p>
      <w:r>
        <w:t>Draft version: CRM_MANUSCRIPT_v1.1</w:t>
      </w:r>
    </w:p>
    <w:p>
      <w:r>
        <w:t>Generated: 2026-08-30 14:00:36 UTC</w:t>
      </w:r>
    </w:p>
    <w:p>
      <w:pPr>
        <w:pStyle w:val="Heading1"/>
      </w:pPr>
      <w:r>
        <w:t>Author Information</w:t>
      </w:r>
    </w:p>
    <w:p>
      <w:r>
        <w:t>Authors: [To be completed]</w:t>
      </w:r>
    </w:p>
    <w:p>
      <w:r>
        <w:t>Affiliations: [To be completed]</w:t>
      </w:r>
    </w:p>
    <w:p>
      <w:r>
        <w:t>Correspondence: [To be completed]</w:t>
      </w:r>
    </w:p>
    <w:p>
      <w:pPr>
        <w:pStyle w:val="Heading1"/>
      </w:pPr>
      <w:r>
        <w:t>Summary</w:t>
      </w:r>
    </w:p>
    <w:p>
      <w:r>
        <w:t>Perturbation-response models are often judged by aggregate transcriptomic similarity, but this endpoint can miss perturbation-specific and context-shifted failures. VirtualPerturb-Audit is a falsification framework that freezes analysis inputs and evaluates global fit, target retrieval, unsupported-effect behavior, sign-flip rate, leakage risk, and matched-target transfer. In GEARS applied to GEARS-compatible filtered Replogle data, matched K562-to-RPE1 audit-delta Pearson decreased by 0.2883. In STATE, a second deep architecture, the matched K562-to-RPE1 audit-delta Pearson drop was 0.1163. The central contribution is not a new perturbation predictor, but a reusable framework for testing which aspects of apparent predictive performance survive perturbation-specific and context-shifted stress testing.</w:t>
      </w:r>
    </w:p>
    <w:p>
      <w:pPr>
        <w:pStyle w:val="Heading1"/>
      </w:pPr>
      <w:r>
        <w:t>Introduction</w:t>
      </w:r>
    </w:p>
    <w:p>
      <w:r>
        <w:t>Single-cell perturbation screens connect experimental intervention with transcriptome-scale phenotypes, making them a natural testbed for perturbation-response prediction. Norman et al. established rich single-cell genetic-interaction phenotypes, and Replogle et al. extended Perturb-seq to genome-scale CRISPRi maps across millions of cells [1,2]. Models such as GEARS use these data to predict responses to unseen perturbations [3].</w:t>
      </w:r>
    </w:p>
    <w:p>
      <w:r>
        <w:t>Aggregate similarity is useful but incomplete. A model can achieve high raw-space transcriptomic similarity while recovering little perturbation identity, especially when shared mean-response structure dominates the signal. Recent benchmarks have sharpened this concern by showing that model rankings and conclusions depend on metric choice, task design, and systematic variation [4-8].</w:t>
      </w:r>
    </w:p>
    <w:p>
      <w:r>
        <w:t>Existing benchmark resources help standardize datasets, baselines, and model comparisons [4-8]. What remains fragmented is the link between a reported number and the claim it is allowed to support. Raw-space transcriptomic similarity and control-subtracted audit-delta agreement quantify different properties and should not be interpreted as numerically interchangeable endpoints.</w:t>
      </w:r>
    </w:p>
    <w:p>
      <w:r>
        <w:t>VirtualPerturb-Audit addresses this gap by treating evaluation as falsification. It freezes inputs, separates endpoint families, adds probe controls, runs matched-target context-transfer stress tests, and records claim boundaries. We demonstrate the framework with frozen GEARS and STATE analyses on Norman and GEARS-compatible filtered Replogle data.</w:t>
      </w:r>
    </w:p>
    <w:p>
      <w:pPr>
        <w:pStyle w:val="Heading1"/>
      </w:pPr>
      <w:r>
        <w:t>Results</w:t>
      </w:r>
    </w:p>
    <w:p>
      <w:pPr>
        <w:pStyle w:val="Heading2"/>
      </w:pPr>
      <w:r>
        <w:t>VirtualPerturb-Audit separates model fit into falsifiable endpoint families</w:t>
      </w:r>
    </w:p>
    <w:p>
      <w:r>
        <w:t>VirtualPerturb-Audit organizes perturbation-response evaluation into frozen inputs, metric families, stress tests, and bounded claims (Figure 1). Frozen inputs define datasets, split assignments, model outputs, and permitted post-processing. Metric families separate raw-space global transcriptomic similarity, audit-delta agreement, perturbation-specific retrieval, unsupported-effect rate, and sign-flip rate. Stress tests then ask whether a claim survives probe controls, matched targets, and cross-context transfer.</w:t>
      </w:r>
    </w:p>
    <w:p>
      <w:r>
        <w:t>This design prevents one strong endpoint from carrying unsupported claims. Raw-space Pearson can support global expression agreement, but it does not establish perturbation identity recovery. Unsupported-effect rate can support sensitivity to large unsupported predictions, but it is not a validated biological endpoint unless its null envelope is derived from validated biological replicate ground truth.</w:t>
      </w:r>
    </w:p>
    <w:p>
      <w:pPr>
        <w:pStyle w:val="Heading2"/>
      </w:pPr>
      <w:r>
        <w:t>Norman and Replogle expose divergence between global agreement and target retrieval</w:t>
      </w:r>
    </w:p>
    <w:p>
      <w:r>
        <w:t>Frozen GEARS results showed that raw-space global similarity and perturbation-specific retrieval can diverge (Figure 2). Norman L1 GEARS had raw-space Pearson 0.9887 and MRR 0.3277. Replogle K562 R-L1 retained raw-space Pearson 0.9851 but had MRR 0.0445. Replogle RPE1 R-L1 had raw-space Pearson 0.9709 and MRR 0.0209.</w:t>
      </w:r>
    </w:p>
    <w:p>
      <w:r>
        <w:t>These values are not directly comparable to audit-delta Pearson values used in later transfer sections. Raw-space Pearson measures agreement in the expression space used by the GEARS evaluation row. Audit-delta Pearson measures agreement after control subtraction and is used to compare perturbation-specific response patterns.</w:t>
      </w:r>
    </w:p>
    <w:p>
      <w:pPr>
        <w:pStyle w:val="Heading2"/>
      </w:pPr>
      <w:r>
        <w:t>Within-context Replogle tests show why probe controls are needed</w:t>
      </w:r>
    </w:p>
    <w:p>
      <w:r>
        <w:t>The within-context Replogle audit compared GEARS with simple probes and baselines (Figure 3). Mean-effect probes achieved strong audit-delta Pearson in K562 and RPE1, while retrieval remained low. GEARS improved some retrieval endpoints, but absolute retrieval values stayed modest.</w:t>
      </w:r>
    </w:p>
    <w:p>
      <w:r>
        <w:t>Probe controls clarify what kind of signal drives an apparent success. In this setting, they separate global response structure from perturbation-specific target recovery. The result supports an audit-framework claim rather than a broad claim about model superiority or failure.</w:t>
      </w:r>
    </w:p>
    <w:p>
      <w:pPr>
        <w:pStyle w:val="Heading2"/>
      </w:pPr>
      <w:r>
        <w:t>Matched-target GEARS analysis supports cross-context transfer collapse</w:t>
      </w:r>
    </w:p>
    <w:p>
      <w:r>
        <w:t>Matched-target GEARS analysis provides the strongest quantitative result (Figure 4). In K562-to-RPE1 transfer, audit-delta Pearson decreased from 0.2812 within context to -0.0070 cross context. The paired drop was 0.2883, with a 95% interval of [0.2559, 0.3206]. UER50 increased from 0.1532 to 0.3877, and sign-flip rate increased from 0.2714 to 0.5718.</w:t>
      </w:r>
    </w:p>
    <w:p>
      <w:r>
        <w:t>The reverse RPE1-to-K562 direction showed the same pattern. Audit-delta Pearson decreased from 0.5501 to 0.0021, with a paired drop of 0.5480 and a 95% interval of [0.5146, 0.5802]. The matched-target design reduces target-composition confounding, but it does not eliminate every possible confounder. The supported conclusion is `MATCHED_SUPPORTS_TRANSFER_COLLAPSE`.</w:t>
      </w:r>
    </w:p>
    <w:p>
      <w:pPr>
        <w:pStyle w:val="Heading2"/>
      </w:pPr>
      <w:r>
        <w:t>STATE provides partial cross-architecture support, with endpoint-level caveats</w:t>
      </w:r>
    </w:p>
    <w:p>
      <w:r>
        <w:t>Phase 2C evaluated STATE as a second deep architecture on four locked tasks. STATE achieved audit-delta Pearson 0.4445 for Norman L1, 0.4060 for Norman L2, 0.2639 for Replogle K562 R-L1, and 0.1874 for Replogle K562-to-RPE1 R-L4.</w:t>
      </w:r>
    </w:p>
    <w:p>
      <w:r>
        <w:t>Matched STATE targets gave partial cross-architecture support for the transfer-degradation signal (Figure 5). Across 15 shared targets, audit-delta Pearson decreased from 0.2955 within context to 0.1792 cross context. The mean drop was 0.1163, with a 95% interval of [0.0684, 0.1599]. Spearman and cosine moved in the same direction, and sign-flip rate was worse cross context. UER50 had a worse point estimate, but its interval crossed zero.</w:t>
      </w:r>
    </w:p>
    <w:p>
      <w:r>
        <w:t>STATE did not provide a uniform endpoint-level confirmation. In full-summary comparisons, STATE R-L4 had higher retrieval MRR and slightly lower UER50 than STATE R-L1, in a smaller normalized R-L4 target universe. STATE therefore provided partial cross-architecture support for matched-target transfer degradation, with endpoint-level heterogeneity that limits broader generalization.</w:t>
      </w:r>
    </w:p>
    <w:p>
      <w:pPr>
        <w:pStyle w:val="Heading1"/>
      </w:pPr>
      <w:r>
        <w:t>Discussion</w:t>
      </w:r>
    </w:p>
    <w:p>
      <w:r>
        <w:t>VirtualPerturb-Audit contributes a reusable audit grammar for perturbation-response model evaluation. It links each reported endpoint to the claim it can support, then records where the claim narrows under stricter stress tests.</w:t>
      </w:r>
    </w:p>
    <w:p>
      <w:r>
        <w:t>The GEARS worked example shows why this grammar matters. Raw-space global similarity remained high in several settings, while perturbation-specific retrieval and matched transfer revealed weaker behavior. The matched Replogle analysis is the clearest stress test because it compares the same target set across within-context and cross-context conditions.</w:t>
      </w:r>
    </w:p>
    <w:p>
      <w:r>
        <w:t>The STATE analysis adds a second-architecture check without overstating the evidence. It supports the matched-target transfer-drop direction but also shows endpoint heterogeneity. This mixed result strengthens the methods argument because the framework exposes both supportive and limiting evidence.</w:t>
      </w:r>
    </w:p>
    <w:p>
      <w:r>
        <w:t>Practically, perturbation-response studies should report raw-space similarity, audit-delta agreement, retrieval, unsupported-effect rate, sign-flip rate, and context-transfer analyses as distinct endpoints. They should also state the target universe and metric space for every comparison.</w:t>
      </w:r>
    </w:p>
    <w:p>
      <w:r>
        <w:t>The current package stops at a bounded methods claim. It does not establish a universal model ranking, validated biological UER endpoint, or architecture-independent failure. Future work should apply the same audit protocol to complete Replogle processed objects, validated replicate-derived nulls, more architectures, and prospective perturbation settings.</w:t>
      </w:r>
    </w:p>
    <w:p>
      <w:pPr>
        <w:pStyle w:val="Heading1"/>
      </w:pPr>
      <w:r>
        <w:t>Limitations of the study</w:t>
      </w:r>
    </w:p>
    <w:p>
      <w:r>
        <w:t>Replogle analyses use GEARS-compatible filtered essential-screen data, not the complete Figshare+ processed objects. Validated biological replicate metadata were unavailable, so BNS remains unverified. UER is interpreted as sensitivity-only because its null envelope is not derived from validated biological replicate ground truth. GEARS R-L4 uses a GEARS-compatible cross-context inference adapter, not a native cell-line-aware GEARS split. The worked example includes two architectures, and STATE matched transfer has 15 shared targets. STATE support is endpoint-heterogeneous. The manuscript does not make a direct universal model-ranking claim.</w:t>
      </w:r>
    </w:p>
    <w:p>
      <w:pPr>
        <w:pStyle w:val="Heading1"/>
      </w:pPr>
      <w:r>
        <w:t>STAR Methods</w:t>
      </w:r>
    </w:p>
    <w:p>
      <w:pPr>
        <w:pStyle w:val="Heading2"/>
      </w:pPr>
      <w:r>
        <w:t>Resource availability</w:t>
      </w:r>
    </w:p>
    <w:p>
      <w:pPr>
        <w:pStyle w:val="Heading3"/>
      </w:pPr>
      <w:r>
        <w:t>Lead contact</w:t>
      </w:r>
    </w:p>
    <w:p>
      <w:r>
        <w:t>Lead contact information will be supplied by the corresponding author before submission.</w:t>
      </w:r>
    </w:p>
    <w:p>
      <w:pPr>
        <w:pStyle w:val="Heading3"/>
      </w:pPr>
      <w:r>
        <w:t>Materials availability</w:t>
      </w:r>
    </w:p>
    <w:p>
      <w:r>
        <w:t>This computational study did not generate new physical reagents.</w:t>
      </w:r>
    </w:p>
    <w:p>
      <w:pPr>
        <w:pStyle w:val="Heading3"/>
      </w:pPr>
      <w:r>
        <w:t>Data and code availability</w:t>
      </w:r>
    </w:p>
    <w:p>
      <w:r>
        <w:t>Original datasets: Norman perturbation data were used through a GEARS-compatible processed mirror [1,3]. Replogle data were used as GEARS-compatible filtered essential-screen K562 and RPE1 objects; complete Figshare+ processed objects were not part of the frozen analyses [2,9,10].</w:t>
      </w:r>
    </w:p>
    <w:p>
      <w:r>
        <w:t>Processed and derived audit files: frozen result tables are stored under `results/tables/`. Split assignments are stored under the project split and metadata outputs listed in `REPRODUCIBILITY.md`. Predictions and target-level outputs are stored in local frozen result directories and require repository/archive deposition before journal upload (`TODO_DEPOSIT`).</w:t>
      </w:r>
    </w:p>
    <w:p>
      <w:r>
        <w:t>Source code and environment: source code is in the VirtualPerturb-Audit repository. Public repository URL, archive DOI, and final environment export remain `TODO_DEPOSIT`. The repository uses an MIT license in this finalization package.</w:t>
      </w:r>
    </w:p>
    <w:p>
      <w:pPr>
        <w:pStyle w:val="Heading2"/>
      </w:pPr>
      <w:r>
        <w:t>Method details</w:t>
      </w:r>
    </w:p>
    <w:p>
      <w:pPr>
        <w:pStyle w:val="Heading3"/>
      </w:pPr>
      <w:r>
        <w:t>Audit design</w:t>
      </w:r>
    </w:p>
    <w:p>
      <w:r>
        <w:t>VirtualPerturb-Audit freezes datasets, split definitions, model outputs, and post-processing rules before manuscript interpretation. All CRM v1.1 materials were generated from saved result tables and reports. No new GEARS training, STATE training, primary endpoint redefinition, or matched-target registry change was performed.</w:t>
      </w:r>
    </w:p>
    <w:p>
      <w:pPr>
        <w:pStyle w:val="Heading3"/>
      </w:pPr>
      <w:r>
        <w:t>Datasets and task levels</w:t>
      </w:r>
    </w:p>
    <w:p>
      <w:r>
        <w:t>Norman analyses used frozen GEARS-compatible Norman perturbation splits. Replogle analyses used GEARS-compatible filtered essential-screen data for K562 and RPE1. R-L1 denotes within-context perturbation holdout. R-L4 denotes source-context training with target-context control basal inputs and target-context evaluation through a GEARS-compatible cross-context inference adapter.</w:t>
      </w:r>
    </w:p>
    <w:p>
      <w:pPr>
        <w:pStyle w:val="Heading3"/>
      </w:pPr>
      <w:r>
        <w:t>Endpoint definitions</w:t>
      </w:r>
    </w:p>
    <w:p>
      <w:r>
        <w:t>Raw-space Pearson measures global transcriptomic similarity in the expression space of the relevant model output. Audit-delta Pearson measures control-subtracted perturbation-response agreement. Retrieval endpoints include Top1, Top5, and MRR. Unsupported-effect rate is reported as UER@K. BNS remains unverified because validated biological replicate metadata were unavailable.</w:t>
      </w:r>
    </w:p>
    <w:p>
      <w:pPr>
        <w:pStyle w:val="Heading3"/>
      </w:pPr>
      <w:r>
        <w:t>Matched-target sensitivity</w:t>
      </w:r>
    </w:p>
    <w:p>
      <w:r>
        <w:t>Matched-target analysis restricts paired comparisons to perturbation targets shared between within-context and cross-context outputs. GEARS matched transfer uses paired perturbation-level differences. STATE matched transfer uses bootstrap intervals over shared targets.</w:t>
      </w:r>
    </w:p>
    <w:p>
      <w:pPr>
        <w:pStyle w:val="Heading3"/>
      </w:pPr>
      <w:r>
        <w:t>STATE Phase 2C audit</w:t>
      </w:r>
    </w:p>
    <w:p>
      <w:r>
        <w:t>STATE was evaluated on a CUDA-capable Linux GPU server after local CPU execution was classified as not performance-eligible. Locked tasks were Norman L1, Norman L2, Replogle K562 R-L1, and Replogle K562-to-RPE1 R-L4. STATE perturbation labels were normalized by collapsing explicit control partners before target-level evaluation.</w:t>
      </w:r>
    </w:p>
    <w:p>
      <w:pPr>
        <w:pStyle w:val="Heading2"/>
      </w:pPr>
      <w:r>
        <w:t>Quantification and statistical analysis</w:t>
      </w:r>
    </w:p>
    <w:p>
      <w:r>
        <w:t>Bootstrap confidence intervals use perturbation-level resampling as reported in frozen result tables. GEARS K562-to-RPE1 and RPE1-to-K562 transfer analyses use matched-target paired differences. STATE K562-to-RPE1 transfer uses 15 matched targets. No new primary analyses were computed during manuscript finalization.</w:t>
      </w:r>
    </w:p>
    <w:p>
      <w:pPr>
        <w:pStyle w:val="Heading1"/>
      </w:pPr>
      <w:r>
        <w:t>References</w:t>
      </w:r>
    </w:p>
    <w:p>
      <w:r>
        <w:t>1. Norman, T. M., Horlbeck, M. A., Replogle, J. M., Ge, A. Y., Xu, A., Jost, M., Gilbert, L. A., and Weissman, J. S. Exploring genetic interaction manifolds constructed from rich single-cell phenotypes. *Science* 365, 786-793 (2019). https://doi.org/10.1126/science.aax4438. PubMed: 31395745.</w:t>
      </w:r>
    </w:p>
    <w:p>
      <w:r>
        <w:t>2. Replogle, J. M. et al. Mapping information-rich genotype-phenotype landscapes with genome-scale Perturb-seq. *Cell* 185, 2559-2575.e28 (2022). https://doi.org/10.1016/j.cell.2022.05.013. PubMed: 35688146.</w:t>
      </w:r>
    </w:p>
    <w:p>
      <w:r>
        <w:t>3. Roohani, Y., Huang, K., and Leskovec, J. Predicting transcriptional outcomes of novel multigene perturbations with GEARS. *Nature Biotechnology* 42, 927-935 (2024). https://doi.org/10.1038/s41587-023-01905-6. PubMed: 37592036.</w:t>
      </w:r>
    </w:p>
    <w:p>
      <w:r>
        <w:t>4. Wu, Y., Wershof, E., Schmon, S. M., Nassar, M., Osinski, B., Eksi, R., Yan, Z., Stark, R., Zhang, K., and Graepel, T. PerturBench: Benchmarking Machine Learning Models for Cellular Perturbation Analysis. *Advances in Neural Information Processing Systems 38*, 106937-106977 (2025). https://doi.org/10.52202/085713-3225. Preprint: https://arxiv.org/abs/2408.10609.</w:t>
      </w:r>
    </w:p>
    <w:p>
      <w:r>
        <w:t>5. Vinas Torne, R. et al. Systema: a framework for evaluating genetic perturbation response prediction beyond systematic variation. *Nature Biotechnology* (2025). https://doi.org/10.1038/s41587-025-02777-8.</w:t>
      </w:r>
    </w:p>
    <w:p>
      <w:r>
        <w:t>6. Radig, J. et al. scArchon: a scalable benchmarking framework for assessing single-cell perturbation models. *Genome Biology* 27, 162 (2026). https://doi.org/10.1186/s13059-026-04104-z. PubMed: 42121287.</w:t>
      </w:r>
    </w:p>
    <w:p>
      <w:r>
        <w:t>7. Mao, X. et al. Benchmarking virtual cell models for in-the-wild perturbation response. *arXiv* 2604.27646 (2026). https://arxiv.org/abs/2604.27646.</w:t>
      </w:r>
    </w:p>
    <w:p>
      <w:r>
        <w:t>8. Vollenweider, M. et al. Signal, Bounds, and Baselines: Principles for Rigorous Single-Cell Perturbation Prediction Benchmarking. *bioRxiv* (2026). https://doi.org/10.64898/2026.04.20.719650.</w:t>
      </w:r>
    </w:p>
    <w:p>
      <w:r>
        <w:t>9. Replogle, J. M. et al. Mapping information-rich genotype-phenotype landscapes with genome-scale Perturb-seq: SRA and GEO file manifest. Figshare+ (2022). https://doi.org/10.25452/figshare.plus.20022944.</w:t>
      </w:r>
    </w:p>
    <w:p>
      <w:r>
        <w:t>10. Replogle, J. M. et al. Mapping information-rich genotype-phenotype landscapes with genome-scale Perturb-seq: processed datasets. Figshare+ (2022). https://doi.org/10.25452/figshare.plus.20029387.</w:t>
      </w:r>
    </w:p>
    <w:p>
      <w:pPr>
        <w:pStyle w:val="Heading1"/>
      </w:pPr>
      <w:r>
        <w:t>Figure Legends</w:t>
      </w:r>
    </w:p>
    <w:p>
      <w:r>
        <w:t>**Figure 1. VirtualPerturb-Audit framework.** Frozen perturbation-response datasets and model outputs enter a four-stage audit: input freeze, endpoint-family evaluation, stress testing, and bounded claim assignment. The figure depicts the method workflow, not a model-ranking result.</w:t>
      </w:r>
    </w:p>
    <w:p>
      <w:r>
        <w:t>**Figure 2. Raw-space global agreement and perturbation-specific retrieval can diverge.** GEARS raw-space Pearson and retrieval MRR are shown for frozen Norman and GEARS-compatible filtered Replogle within-context tasks. Pearson is raw expression Pearson, whereas MRR measures perturbation-specific retrieval. Replogle panels use filtered essential-screen data.</w:t>
      </w:r>
    </w:p>
    <w:p>
      <w:r>
        <w:t>**Figure 3. Within-context Replogle probe controls.** GEARS, mean-effect probes, and label-shuffled probes are compared on GEARS-compatible filtered Replogle K562 and RPE1 R-L1 tasks. Bars report audit-delta Pearson and retrieval MRR from frozen result tables.</w:t>
      </w:r>
    </w:p>
    <w:p>
      <w:r>
        <w:t>**Figure 4. Matched-target GEARS cross-context transfer.** Shared-target analysis compares within-context and cross-context audit-delta Pearson for K562-to-RPE1 (n=150 matched targets) and RPE1-to-K562 (n=148 matched targets). Labels show paired drops and perturbation-level bootstrap 95% intervals. UER values discussed in text are sensitivity-only.</w:t>
      </w:r>
    </w:p>
    <w:p>
      <w:r>
        <w:t>**Figure 5. STATE partial cross-architecture support.** STATE K562-to-RPE1 matched targets (n=15) show lower cross-context audit-delta Pearson, Spearman, and cosine, while UER has an interval crossing zero. The full-summary MRR bar is included to show endpoint heterogeneity rather than complete replication.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