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r>
        <w:t>Draft version: CRM_MANUSCRIPT_v1.5</w:t>
      </w:r>
    </w:p>
    <w:p>
      <w:r>
        <w:t>Generated: 2026-09-01 12:39:49 UTC</w:t>
      </w:r>
    </w:p>
    <w:p>
      <w:pPr>
        <w:pStyle w:val="Heading1"/>
      </w:pPr>
      <w:r>
        <w:t>Author Information</w:t>
      </w:r>
    </w:p>
    <w:p>
      <w:r>
        <w:t>Authors: Yi Zha1, Da Lin1, Ying Chen2, Yue Liu2, Yu Zhang1</w:t>
      </w:r>
    </w:p>
    <w:p>
      <w:r>
        <w:t>Affiliations: 1 Department of Ophthalmology, The Second Affiliated Hospital of Wenzhou Medical University, No. 109 Xueyuan West Road, Lucheng District, Wenzhou, Zhejiang Province, China</w:t>
      </w:r>
    </w:p>
    <w:p>
      <w:r>
        <w:t>2 Wenzhou Medical University, Wenzhou, Zhejiang Province, China</w:t>
      </w:r>
    </w:p>
    <w:p>
      <w:r>
        <w:t>Correspondence: Yu Zhang, zhangyu1@wzhealth.com; ORCID: 0000-0001-8579-3692</w:t>
      </w:r>
    </w:p>
    <w:p>
      <w:pPr>
        <w:pStyle w:val="Heading1"/>
      </w:pPr>
      <w:r>
        <w:t>Summary</w:t>
      </w:r>
    </w:p>
    <w:p>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r>
        <w:t>VirtualPerturb-Audit evaluates perturbation-response predictions through five linked components: input and provenance freeze, global-fit audit, perturbation-specific audit, falsification audit, and transfer and error-burden audit (Figure 1; Table 1). The input and provenance freeze locks the dataset version, target universe, gene universe, model checkpoint, split assignments, preprocessing, and evaluation code. The global-fit audit reports raw-space and audit-delta agreement as noninterchangeable metric spaces. The perturbation-specific audit asks whether the true perturbation is retrieved from a candidate universe. The falsification audit applies baselines and probe controls that remove or scramble target-specific information. The transfer and error-burden audit evaluates matched-target context transfer, unsupported-effect rate (UER@K), and sign-flip rate.</w:t>
      </w:r>
    </w:p>
    <w:p>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and provenance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error-burden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r>
        <w:t>Frozen GEARS analyses showed that aggregate similarity and perturbation-specific retrieval describe different behavior when viewed as separate endpoint families (Figure 2). Norman L1 GEARS had raw-space Pearson 0.9887 and mean reciprocal rank (MRR) 0.3277. Replogle K562 R-L1 retained high raw-space Pearson (0.9851) but had much lower MRR (0.0445). Replogle RPE1 R-L1 had raw-space Pearson 0.9709 and MRR 0.0209.</w:t>
      </w:r>
    </w:p>
    <w:p>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r>
        <w:t>Within-context Replogle analyses compared GEARS against simple baselines and falsification probes (Figure 3). Mean-effect probes achieved substantial audit-delta Pearson in both K562 and RPE1, while retrieval remained low. GEARS showed modest improvements on some retrieval endpoints, but absolute retrieval remained limited.</w:t>
      </w:r>
    </w:p>
    <w:p>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r>
        <w:t>The strongest quantitative stress test came from matched-target GEARS transfer (Figure 4). In K562-to-RPE1 transfer, audit-delta Pearson decreased from 0.2812 within context to -0.0070 cross context. The paired drop was 0.2883, with a 95% interval of [0.2559, 0.3206]. UER50 increased from 0.1532 to 0.3877, and sign-flip rate increased from 0.2714 to 0.5718.</w:t>
      </w:r>
    </w:p>
    <w:p>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decreased by 0.0709 and cosine decreased by 0.1048. Sign-flip rate was worse cross context, while the UER50 interval crossed zero. Leave-one-target-out sensitivity showed positive Pearson, Spearman, and cosine drops after omitting each of the 15 matched targets, indicating that the agreement-endpoint signal was not driven by one target.</w:t>
      </w:r>
    </w:p>
    <w:p>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v1.3 common-candidate sensitivity using the same 15 matched targets as candidates, MRR was 0.2594 for within-context STATE and 0.2212 for cross-context STATE. VirtualPerturb-Audit records this as partial cross-architecture support with endpoint heterogeneity.</w:t>
      </w:r>
    </w:p>
    <w:p>
      <w:pPr>
        <w:pStyle w:val="Heading1"/>
      </w:pPr>
      <w:r>
        <w:t>Discussion</w:t>
      </w:r>
    </w:p>
    <w:p>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r>
        <w:t>Further information and requests should be directed to Yu Zhang, zhangyu1@wzhealth.com.</w:t>
      </w:r>
    </w:p>
    <w:p>
      <w:pPr>
        <w:pStyle w:val="Heading3"/>
      </w:pPr>
      <w:r>
        <w:t>Materials availability</w:t>
      </w:r>
    </w:p>
    <w:p>
      <w:r>
        <w:t>This computational study did not generate new physical reagents.</w:t>
      </w:r>
    </w:p>
    <w:p>
      <w:pPr>
        <w:pStyle w:val="Heading3"/>
      </w:pPr>
      <w:r>
        <w:t>Data and code availability</w:t>
      </w:r>
    </w:p>
    <w:p>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Public repository URL and archived code/result DOI remain to be completed before journal submission. Working metadata use [ZENODO_DOI_PENDING] only as a placeholder.</w:t>
      </w:r>
    </w:p>
    <w:p>
      <w:pPr>
        <w:pStyle w:val="Heading2"/>
      </w:pPr>
      <w:r>
        <w:t>Method details</w:t>
      </w:r>
    </w:p>
    <w:p>
      <w:pPr>
        <w:pStyle w:val="Heading3"/>
      </w:pPr>
      <w:r>
        <w:t>VirtualPerturb-Audit protocol</w:t>
      </w:r>
    </w:p>
    <w:p>
      <w:r>
        <w:t>VirtualPerturb-Audit contains five linked components. Input and provenance freeze records expression data, perturbation labels, control labels, context labels, model predictions, split assignments, dataset version, target universe, gene universe, model checkpoint, preprocessing, and evaluation code. The global-fit audit computes raw-space Pearson, audit-delta Pearson, Spearman, RMSE, MAE, and cosine. The perturbation-specific audit computes retrieval using Top1, Top5, and MRR. The falsification audit applies baselines and falsification probes B0-B5 and FP1-FP3. The transfer and error-burden audit evaluates context holdout, matched-target transfer, UER@K, and sign-flip rate.</w:t>
      </w:r>
    </w:p>
    <w:p>
      <w:pPr>
        <w:pStyle w:val="Heading3"/>
      </w:pPr>
      <w:r>
        <w:t>Dataset acquisition and provenance</w:t>
      </w:r>
    </w:p>
    <w:p>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r>
        <w:t>Figure 1. VirtualPerturb-Audit protocol. VirtualPerturb-Audit accepts observed perturbation responses, model predictions, controls, perturbation and context labels, and frozen analysis provenance. The framework separately evaluates global expression agreement, perturbation-specific retrieval, falsification probes, matched-target context transfer, and unsupported or directional effects. Results are translated into endpoint-specific claim boundaries rather than a single model score. The schematic depicts the general framework and does not represent a direct GEARS-versus-STATE ranking.</w:t>
      </w:r>
    </w:p>
    <w:p>
      <w:r>
        <w:t>Figure 2. High global expression agreement does not imply perturbation-specific retrieval. Raw-space Pearson agreement (A) and perturbation retrieval by mean reciprocal rank (MRR; B) are displayed separately for frozen Norman and GEARS-compatible filtered Replogle within-context tasks. The Pearson axis is restricted to resolve values that are uniformly close to one; dot positions rather than bar lengths encode estimates. Retrieval is evaluated within each task's declared non-control candidate universe, and candidate-set size should be considered when comparing absolute MRR values across tasks. Open markers indicate the theoretical expectation under random ranking for the corresponding candidate universe. These endpoint families quantify distinct properties: global transcriptomic agreement and perturbation identity recovery.</w:t>
      </w:r>
    </w:p>
    <w:p>
      <w:r>
        <w:t>Figure 3. Probe controls for within-context Replogle evaluation. GEARS, baselines, and falsification probes are compared on GEARS-compatible filtered Replogle K562 and RPE1 R-L1 tasks. Bars report audit-delta Pearson and retrieval MRR from frozen result tables. Probe performance narrows the supported interpretation of endpoints that can be approached without perturbation-specific information.</w:t>
      </w:r>
    </w:p>
    <w:p>
      <w:r>
        <w:t>Figure 4. Matched-target GEARS context-transfer stress test. Shared-target analysis compares within-context and cross-context audit-delta Pearson for K562-to-RPE1 (n=150 matched targets) and RPE1-to-K562 (n=148 matched targets). Labels show paired drops and perturbation-level bootstrap 95% intervals. Figure 4 uses QC and matched-transfer language only.</w:t>
      </w:r>
    </w:p>
    <w:p>
      <w:r>
        <w:t>Figure 5. STATE shows partial cross-architecture transfer degradation with endpoint heterogeneity. STATE K562-to-RPE1 matched targets (n=15) show lower cross-context audit-delta Pearson, Spearman, and cosine. UER50 has an interval crossing zero, sign-flip rate is worse cross context, and common-candidate retrieval from frozen centroids is reported as an exploratory sensitivity panel.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