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Dear Editors,</w:t>
      </w:r>
    </w:p>
    <w:p>
      <w:pPr>
        <w:spacing w:line="360" w:lineRule="auto"/>
      </w:pPr>
      <w:r>
        <w:t>We are pleased to submit our Original Research Article entitled "A leakage-aware computational benchmark of hosted single-cell representations for blood T-cell aging prediction" for consideration in Interdisciplinary Sciences: Computational Life Sciences.</w:t>
      </w:r>
    </w:p>
    <w:p>
      <w:pPr>
        <w:spacing w:line="360" w:lineRule="auto"/>
      </w:pPr>
      <w:r>
        <w:t>This manuscript presents a leakage-aware computational audit framework for public single-cell prediction tasks and applies it to CELLxGENE-hosted scVI and TranscriptFormer representations in a blood T-cell age-classification benchmark. The central contribution is methodological: the study maps donor identity leakage, metadata confounding, study-origin shift, disease-age confounding, label-unit mismatch, and split instability to explicit validation designs and negative controls.</w:t>
      </w:r>
    </w:p>
    <w:p>
      <w:pPr>
        <w:spacing w:line="360" w:lineRule="auto"/>
      </w:pPr>
      <w:r>
        <w:t>The findings show that random-cell evaluation can overestimate generalizable performance, with a metadata-only random-cell AUROC exceeding or matching hosted embedding models, while donor-aware and dataset-aware evaluations give more cautious interpretations. The manuscript does not claim a clinical aging clock, new biological mechanism, pan-tissue validation, or broad superiority of any foundation model.</w:t>
      </w:r>
    </w:p>
    <w:p>
      <w:pPr>
        <w:spacing w:line="360" w:lineRule="auto"/>
      </w:pPr>
      <w:r>
        <w:t>We believe the work is well aligned with the journal because it addresses computational methodology, reproducible benchmarking, machine-learning validation, and biological data interpretation in public single-cell resources. The manuscript is not under consideration elsewhere. All authors have approved the submission.</w:t>
      </w:r>
    </w:p>
    <w:p>
      <w:pPr>
        <w:spacing w:line="360" w:lineRule="auto"/>
      </w:pPr>
      <w:r>
        <w:t>Sincerely,</w:t>
      </w:r>
    </w:p>
    <w:p>
      <w:pPr>
        <w:spacing w:line="360" w:lineRule="auto"/>
      </w:pPr>
      <w:r>
        <w:t>Yu Zhang, MD/PhD</w:t>
        <w:br/>
        <w:t>The Second Affiliated Hospital of Wenzhou Medical University</w:t>
        <w:br/>
        <w:t>zhangyu1@wzhealth.com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leakage-aware computational benchmark of hosted single-cell representations for blood T-cell aging prediction</dc:title>
  <dc:subject/>
  <dc:creator>Yi Zha; Da Lin; Ying Chen; Yue Liu; Yu Zhang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