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leakage-aware computational benchmark of hosted single-cell representations for blood T-cell aging prediction</w:t>
      </w:r>
    </w:p>
    <w:p>
      <w:pPr>
        <w:spacing w:line="360" w:lineRule="auto"/>
      </w:pPr>
      <w:r>
        <w:rPr>
          <w:b/>
        </w:rPr>
        <w:t xml:space="preserve">Short title: </w:t>
      </w:r>
      <w:r>
        <w:t>Leakage-aware single-cell representation benchmark</w:t>
      </w:r>
    </w:p>
    <w:p>
      <w:pPr>
        <w:spacing w:line="360" w:lineRule="auto"/>
      </w:pPr>
      <w:r>
        <w:rPr>
          <w:b/>
        </w:rPr>
        <w:t xml:space="preserve">Article type: </w:t>
      </w:r>
      <w:r>
        <w:t>Original Research Article</w:t>
      </w:r>
    </w:p>
    <w:p>
      <w:pPr>
        <w:pStyle w:val="Heading1"/>
      </w:pPr>
      <w:r>
        <w:t>Authors and Affiliations</w:t>
      </w:r>
    </w:p>
    <w:p>
      <w:pPr>
        <w:spacing w:line="360" w:lineRule="auto"/>
      </w:pPr>
      <w:r>
        <w:t>Yi Zha^1^, Da Lin^1^, Ying Chen^2^, Yue Liu^2^, Yu Zhang^1,*</w:t>
      </w:r>
    </w:p>
    <w:p>
      <w:pPr>
        <w:spacing w:line="360" w:lineRule="auto"/>
      </w:pPr>
      <w:r>
        <w:t>^1^ The Second Affiliated Hospital of Wenzhou Medical University, Wenzhou, Zhejiang, China.</w:t>
      </w:r>
    </w:p>
    <w:p>
      <w:pPr>
        <w:spacing w:line="360" w:lineRule="auto"/>
      </w:pPr>
      <w:r>
        <w:t>^2^ Wenzhou Medical University, Wenzhou, Zhejiang, China.</w:t>
      </w:r>
    </w:p>
    <w:p>
      <w:pPr>
        <w:spacing w:line="360" w:lineRule="auto"/>
      </w:pPr>
      <w:r>
        <w:rPr>
          <w:b/>
        </w:rPr>
        <w:t xml:space="preserve">Correspondence: </w:t>
      </w:r>
      <w:r>
        <w:t>Yu Zhang, zhangyu1@wzhealth.com; ORCID: 0000-0001-8579-3692</w:t>
      </w:r>
    </w:p>
    <w:p>
      <w:pPr>
        <w:pStyle w:val="Heading1"/>
      </w:pPr>
      <w:r>
        <w:t>Declarations</w:t>
      </w:r>
    </w:p>
    <w:p>
      <w:pPr>
        <w:spacing w:line="360" w:lineRule="auto"/>
      </w:pPr>
      <w:r>
        <w:rPr>
          <w:b/>
        </w:rPr>
        <w:t xml:space="preserve">Acknowledgements: </w:t>
      </w:r>
      <w:r>
        <w:t>None declared.</w:t>
      </w:r>
    </w:p>
    <w:p>
      <w:pPr>
        <w:spacing w:line="360" w:lineRule="auto"/>
      </w:pPr>
      <w:r>
        <w:rPr>
          <w:b/>
        </w:rPr>
        <w:t xml:space="preserve">Funding: </w:t>
      </w:r>
      <w:r>
        <w:t>No specific funding was declared for this work; the authors should verify this statement before final submission.</w:t>
      </w:r>
    </w:p>
    <w:p>
      <w:pPr>
        <w:spacing w:line="360" w:lineRule="auto"/>
      </w:pPr>
      <w:r>
        <w:rPr>
          <w:b/>
        </w:rPr>
        <w:t xml:space="preserve">Author contributions: </w:t>
      </w:r>
      <w:r>
        <w:t>Yi Zha and Da Lin contributed to data curation, analysis, and manuscript drafting. Ying Chen and Yue Liu contributed to interpretation and manuscript revision. Yu Zhang supervised the study and is the corresponding author. All authors should verify contribution details before final submission.</w:t>
      </w:r>
    </w:p>
    <w:p>
      <w:pPr>
        <w:spacing w:line="360" w:lineRule="auto"/>
      </w:pPr>
      <w:r>
        <w:rPr>
          <w:b/>
        </w:rPr>
        <w:t xml:space="preserve">Competing interests: </w:t>
      </w:r>
      <w:r>
        <w:t>The authors declare no competing interests.</w:t>
      </w:r>
    </w:p>
    <w:p>
      <w:pPr>
        <w:spacing w:line="360" w:lineRule="auto"/>
      </w:pPr>
      <w:r>
        <w:rPr>
          <w:b/>
        </w:rPr>
        <w:t xml:space="preserve">Ethics approval and consent to participate: </w:t>
      </w:r>
      <w:r>
        <w:t>This study analyzed public, de-identified CELLxGENE data and hosted embeddings and did not enroll new human participants or animals. The authors should confirm whether local institutional review is required for secondary public-data analysis.</w:t>
      </w:r>
    </w:p>
    <w:p>
      <w:pPr>
        <w:spacing w:line="360" w:lineRule="auto"/>
      </w:pPr>
      <w:r>
        <w:rPr>
          <w:b/>
        </w:rPr>
        <w:t xml:space="preserve">Consent for publication: </w:t>
      </w:r>
      <w:r>
        <w:t>Not applicable.</w:t>
      </w:r>
    </w:p>
    <w:p>
      <w:pPr>
        <w:spacing w:line="360" w:lineRule="auto"/>
      </w:pPr>
      <w:r>
        <w:rPr>
          <w:b/>
        </w:rPr>
        <w:t xml:space="preserve">Availability of data and materials: </w:t>
      </w:r>
      <w:r>
        <w:t>The public repository is available at https://github.com/seefreewind/cellxgene-blood-tcell-aging-benchmark. The archived package is available at https://doi.org/10.5281/zenodo.21188101.</w:t>
      </w:r>
    </w:p>
    <w:p>
      <w:pPr>
        <w:spacing w:line="360" w:lineRule="auto"/>
      </w:pPr>
      <w:r>
        <w:rPr>
          <w:b/>
        </w:rPr>
        <w:t xml:space="preserve">Code availability: </w:t>
      </w:r>
      <w:r>
        <w:t>Analysis code and generated result tables are available in the public repository and Zenodo archive listed above.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leakage-aware computational benchmark of hosted single-cell representations for blood T-cell aging prediction</dc:title>
  <dc:subject/>
  <dc:creator>Yi Zha; Da Lin; Ying Chen; Yue Liu; Yu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