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b/>
          <w:sz w:val="32"/>
        </w:rPr>
        <w:t>A Reproducibility-Aware Decision-Support Evaluation Framework for Multimodal ECG Risk Stratification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risk stratification under explicit evidence boundaries.</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Chapman-Shaoxing using pre-specified high-confidence label mappings. We separately audited whether structured PTB-XL+ compatible features could be reconstructed for external WFDB datasets.</w:t>
      </w:r>
    </w:p>
    <w:p>
      <w:pPr>
        <w:spacing w:line="480" w:lineRule="auto" w:after="0"/>
      </w:pPr>
      <w:r>
        <w:t>Results: In internal PTB-XL/PTB-XL+ testing, fair multimodal concatenation achieved AUROC 0.9193, average precision 0.7953, and F1 0.7208, exceeding the signal-embedding comparator by +0.0098 AUROC, +0.0229 average precision, and +0.0205 F1 in paired bootstrap analysis. Gated fusion showed only small numerical differences from fair concatenation, with paired bootstrap confidence intervals containing zero. Signal-only external validation achieved macro AUROC 0.9071 on CPSC2018 and 0.8742 on Chapman-Shaoxing, but Chapman-Shaoxing AP and F1 were low in labels with low prevalence and transferred thresholds. External calibration showed distribution-shift effects. The structured-feature reproducibility audit found 138 numerically concordant features, reduced-schema structured-only degradation, no stable reduced-schema multimodal gain, and only two joinable external structured records per dataset.</w:t>
      </w:r>
    </w:p>
    <w:p>
      <w:pPr>
        <w:spacing w:line="480" w:lineRule="auto" w:after="0"/>
      </w:pPr>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Risk stratification.</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risk stratification.</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pPr>
        <w:spacing w:line="480" w:lineRule="auto" w:after="0"/>
      </w:pPr>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 waveforms for signal-only evaluation [13,14]. External structured-feature generation was audited for reproducibility and coverage feasibility, but external structured features were not used for validated multimodal external testing.</w:t>
      </w:r>
    </w:p>
    <w:p>
      <w:pPr>
        <w:spacing w:line="480" w:lineRule="auto" w:after="0"/>
      </w:pPr>
      <w:r>
        <w:t>The evaluation followed a prespecified staged workflow. Initial data-ingestion checks verified the PTB-XL local data layout, parsed diagnostic labels, and generated frozen train, validation, and test files. Internal modeling then compared signal-only, signal-embedding, structured-only, fair concat, and gated fusion models. Subsequent analyses evaluated calibration, uncertainty triage, post-hoc explainability, exploratory decision-curve analysis, signal-only external validation, and structured-feature reproducibility.</w:t>
      </w:r>
    </w:p>
    <w:p>
      <w:pPr>
        <w:pStyle w:val="Heading2"/>
        <w:spacing w:line="480" w:lineRule="auto" w:after="0"/>
      </w:pPr>
      <w:r>
        <w:t>AI-assisted tools</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Chapman-Shaoxing served as external waveform datasets for signal-only validation. CPSC2018 was evaluated for the high-confidence NORM/CD label subset. Chapman-Shaoxing was evaluated for MI/CD/HYP. Chapman-Shaoxing sinus rhythm was not treated as main-analysis NORM. Records that could not be read as WFDB waveforms were excluded. No external threshold tuning, external model selection, or external retraining was performed.</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Fair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and five output labels. Residual learning was used as the general architectural background [16]. The model provided both a direct waveform comparator and the 256-dimensional signal embedding for fair multimodal comparison. The fair fusion dataset combined signal embeddings and released structured features after median imputation and standardization defined on the training set.</w:t>
      </w:r>
    </w:p>
    <w:p>
      <w:pPr>
        <w:pStyle w:val="Heading2"/>
        <w:spacing w:line="480" w:lineRule="auto" w:after="0"/>
      </w:pPr>
      <w:r>
        <w:t>Fair comparison principle</w:t>
      </w:r>
    </w:p>
    <w:p>
      <w:pPr>
        <w:spacing w:line="480" w:lineRule="auto" w:after="0"/>
      </w:pPr>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spacing w:line="480" w:lineRule="auto" w:after="0"/>
      </w:pPr>
      <w:r>
        <w:t>Decision-curve analysis</w:t>
      </w:r>
    </w:p>
    <w:p>
      <w:pPr>
        <w:spacing w:line="480" w:lineRule="auto" w:after="0"/>
      </w:pPr>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spacing w:line="480" w:lineRule="auto" w:after="0"/>
      </w:pPr>
      <w:r>
        <w:t>Structured-feature reproducibility audit</w:t>
      </w:r>
    </w:p>
    <w:p>
      <w:pPr>
        <w:spacing w:line="480" w:lineRule="auto" w:after="0"/>
      </w:pPr>
      <w:r>
        <w:t>The structured-feature reproducibility analysis was treated as a core feasibility audit. Instead of continuing attempts to reconstruct the full PTB-XL+ 531-column schema externally, the audit used a reduced structured-feature subset that had passed internal numerical concordance checks against released PTB-XL+ values. This subset contained 138 features. The reduced schema was tested internally with signal-embedding, structured-only, and fair concat models, and external coverage was checked for CPSC2018 and Chapman-Shaoxing.</w:t>
      </w:r>
    </w:p>
    <w:p>
      <w:pPr>
        <w:spacing w:line="480" w:lineRule="auto" w:after="0"/>
      </w:pPr>
      <w:r>
        <w:t>The decision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not be supported.</w:t>
      </w:r>
    </w:p>
    <w:p>
      <w:pPr>
        <w:pStyle w:val="Heading2"/>
        <w:spacing w:line="480" w:lineRule="auto" w:after="0"/>
      </w:pPr>
      <w:r>
        <w:t>Statistical analysis</w:t>
      </w:r>
    </w:p>
    <w:p>
      <w:pPr>
        <w:spacing w:line="480" w:lineRule="auto" w:after="0"/>
      </w:pPr>
      <w:r>
        <w:t>Discrimination was summarized using macro AUROC, macro average precision, and macro F1. Macro metrics were computed as the unweighted mean across labels in the evaluated label scope. Thresholded metrics used thresholds selected on internal validation data. The frozen PTB-XL split included 17,418 training records, 2,183 validation records, and 2,198 test records. Fair concat was compared with the strongest unimodal comparators using paired record-level bootstrap resampling on the frozen internal test set. Gated fusion and fair concat were also compared using paired bootstrap resampling on the frozen internal test set [19]. Unless otherwise specified, bootstrap analyses used 1,000 record-level resamples and percentile 95% confidence intervals. Bootstrap confidence intervals were reported without multiplicity adjustment and interpreted descriptively. External diagnostics were reported per dataset and per class. No external threshold optimization was performed.</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pPr>
        <w:spacing w:line="480" w:lineRule="auto" w:after="0"/>
      </w:pPr>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spacing w:line="480" w:lineRule="auto" w:after="0"/>
      </w:pPr>
      <w:r>
        <w:t>Statistical support for the internal multimodal gain</w:t>
      </w:r>
    </w:p>
    <w:p>
      <w:pPr>
        <w:spacing w:line="480" w:lineRule="auto" w:after="0"/>
      </w:pPr>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pPr>
        <w:spacing w:line="480" w:lineRule="auto" w:after="0"/>
      </w:pPr>
      <w:r>
        <w:t>These results provide statistical support for an internal multimodal gain, while remaining limited to the PTB-XL/PTB-XL+ internal evaluation setting. The absolute gain was modest, particularly for AUROC, so the result should be interpreted as evidence of modality complementarity rather than as a large performance improvement.</w:t>
      </w:r>
    </w:p>
    <w:p>
      <w:pPr>
        <w:pStyle w:val="Heading2"/>
        <w:spacing w:line="480" w:lineRule="auto" w:after="0"/>
      </w:pPr>
      <w:r>
        <w:t>Gated fusion versus fair concat</w:t>
      </w:r>
    </w:p>
    <w:p>
      <w:pPr>
        <w:spacing w:line="480" w:lineRule="auto" w:after="0"/>
      </w:pPr>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pPr>
        <w:spacing w:line="480" w:lineRule="auto" w:after="0"/>
      </w:pPr>
      <w:r>
        <w:t>Uncertainty triage, post-hoc explainability, and exploratory decision-curve analysis were retained as decision-support diagnostics. In the gated-fusion model, retaining the lowest-uncertainty 80% of the test set retained 1,757 of 2,198 records and referred 441 records. In this retained subset, macro AUROC was 0.9303, AP was 0.8189, F1 was 0.7597, Brier score was 0.0687, and ECE was 0.0161, compared with overall macro AUROC 0.9196, AP 0.7978, F1 0.7314, Brier score 0.0844, and ECE 0.0193. Case-level explainability summaries identified retained correct examples, retained errors, and high-uncertainty referred errors; top structured features and signal leads were reported as audit outputs rather than causal explanations. Exploratory internal decision-curve analysis over thresholds 0.05 to 0.40 showed mean macro net benefit 0.1881 for fair concat, 0.1895 for gated fusion, 0.1844 for strong signal-only, and 0.1815 for structured-only models.</w:t>
      </w:r>
    </w:p>
    <w:p>
      <w:pPr>
        <w:pStyle w:val="Heading2"/>
        <w:spacing w:line="480" w:lineRule="auto" w:after="0"/>
      </w:pPr>
      <w:r>
        <w:t>Signal-only external validation</w:t>
      </w:r>
    </w:p>
    <w:p>
      <w:pPr>
        <w:spacing w:line="480" w:lineRule="auto" w:after="0"/>
      </w:pPr>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pPr>
        <w:spacing w:line="480" w:lineRule="auto" w:after="0"/>
      </w:pPr>
      <w:r>
        <w:t>Chapman-Shaoxing signal-only external validation included 45,150 evaluated records for the MI/CD/HYP high-confidence label scope. Macro AUROC was 0.8742, macro AP was 0.1727, and macro F1 was 0.1650. The Chapman-Shaoxing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imperfect cross-dataset label comparability, and transfer of thresholds selected on PTB-XL validation data. The MI result in particular should be viewed as diagnostic context rather than strong evidence of comparable thresholded performance.</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 had macro Brier 0.0855, micro Brier 0.0855, macro ECE 0.1412, and macro MCE 0.7277.</w:t>
      </w:r>
    </w:p>
    <w:p>
      <w:pPr>
        <w:spacing w:line="480" w:lineRule="auto" w:after="0"/>
      </w:pPr>
      <w:r>
        <w:t>These results should be reported as transparent calibration behavior under distribution shift, not as evidence of clinical calibration readiness. The high external MCE values indicate that temperature scaling fitted on internal validation data did not transfer reliably to external label/data settings; therefore, external probabilities should not be interpreted as calibrated risks.</w:t>
      </w:r>
    </w:p>
    <w:p>
      <w:pPr>
        <w:pStyle w:val="Heading2"/>
        <w:spacing w:line="480" w:lineRule="auto" w:after="0"/>
      </w:pPr>
      <w:r>
        <w:t>structured-feature reproducibility audit</w:t>
      </w:r>
    </w:p>
    <w:p>
      <w:pPr>
        <w:spacing w:line="480" w:lineRule="auto" w:after="0"/>
      </w:pPr>
      <w:r>
        <w:t>The structured-feature reproducibility audit found that only 138 structured features were available in the numerically concordant subset. In the reduced-schema internal test, the signal-embedding MLP achieved AUROC 0.9094, AP 0.7722, and F1 0.6981. The reduced structured-only MLP showed marked degradation, with AUROC 0.5704, AP 0.3045, and F1 0.0000. The zero F1 reflected thresholded predictions under the validation-derived thresholding rule after loss of most structured-feature information, rather than a successful reduced-schema classifier. Reduced fair concat achieved AUROC 0.9097, AP 0.7731, and F1 0.6938, which did not show stable gain over the signal-embedding MLP.</w:t>
      </w:r>
    </w:p>
    <w:p>
      <w:pPr>
        <w:spacing w:line="480" w:lineRule="auto" w:after="0"/>
      </w:pPr>
      <w:r>
        <w:t>External structured-feature coverage also failed the quality gate. CPSC2018 had 2 joinable candidate structured records among 9,944 signal prediction records, for coverage 0.000201. Chapman-Shaoxing had 2 joinable candidate structured records among 45,150 signal prediction records, for coverage 0.000044.</w:t>
      </w:r>
    </w:p>
    <w:p>
      <w:pPr>
        <w:spacing w:line="480" w:lineRule="auto" w:after="0"/>
      </w:pPr>
      <w:r>
        <w:t>The audit did not support external multimodal validation. This should be presented as a structured-feature reproducibility and feasibility result, not as a failed external multimodal model.</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sz w:val="17"/>
              </w:rPr>
              <w:t>0.9098</w:t>
            </w:r>
          </w:p>
        </w:tc>
        <w:tc>
          <w:tcPr>
            <w:tcW w:type="dxa" w:w="1728"/>
            <w:vAlign w:val="center"/>
          </w:tcPr>
          <w:p>
            <w:pPr>
              <w:spacing w:line="240" w:lineRule="auto" w:after="0"/>
              <w:jc w:val="center"/>
            </w:pPr>
            <w:r>
              <w:rPr>
                <w:sz w:val="17"/>
              </w:rPr>
              <w:t>0.7721</w:t>
            </w:r>
          </w:p>
        </w:tc>
        <w:tc>
          <w:tcPr>
            <w:tcW w:type="dxa" w:w="1728"/>
            <w:vAlign w:val="center"/>
          </w:tcPr>
          <w:p>
            <w:pPr>
              <w:spacing w:line="240" w:lineRule="auto" w:after="0"/>
              <w:jc w:val="center"/>
            </w:pPr>
            <w:r>
              <w:rPr>
                <w:sz w:val="17"/>
              </w:rPr>
              <w:t>0.6998</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sz w:val="17"/>
              </w:rPr>
              <w:t>0.9094</w:t>
            </w:r>
          </w:p>
        </w:tc>
        <w:tc>
          <w:tcPr>
            <w:tcW w:type="dxa" w:w="1728"/>
            <w:vAlign w:val="center"/>
          </w:tcPr>
          <w:p>
            <w:pPr>
              <w:spacing w:line="240" w:lineRule="auto" w:after="0"/>
              <w:jc w:val="center"/>
            </w:pPr>
            <w:r>
              <w:rPr>
                <w:sz w:val="17"/>
              </w:rPr>
              <w:t>0.7724</w:t>
            </w:r>
          </w:p>
        </w:tc>
        <w:tc>
          <w:tcPr>
            <w:tcW w:type="dxa" w:w="1728"/>
            <w:vAlign w:val="center"/>
          </w:tcPr>
          <w:p>
            <w:pPr>
              <w:spacing w:line="240" w:lineRule="auto" w:after="0"/>
              <w:jc w:val="center"/>
            </w:pPr>
            <w:r>
              <w:rPr>
                <w:sz w:val="17"/>
              </w:rPr>
              <w:t>0.7002</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sz w:val="17"/>
              </w:rPr>
              <w:t>0.9046</w:t>
            </w:r>
          </w:p>
        </w:tc>
        <w:tc>
          <w:tcPr>
            <w:tcW w:type="dxa" w:w="1728"/>
            <w:vAlign w:val="center"/>
          </w:tcPr>
          <w:p>
            <w:pPr>
              <w:spacing w:line="240" w:lineRule="auto" w:after="0"/>
              <w:jc w:val="center"/>
            </w:pPr>
            <w:r>
              <w:rPr>
                <w:sz w:val="17"/>
              </w:rPr>
              <w:t>0.7652</w:t>
            </w:r>
          </w:p>
        </w:tc>
        <w:tc>
          <w:tcPr>
            <w:tcW w:type="dxa" w:w="1728"/>
            <w:vAlign w:val="center"/>
          </w:tcPr>
          <w:p>
            <w:pPr>
              <w:spacing w:line="240" w:lineRule="auto" w:after="0"/>
              <w:jc w:val="center"/>
            </w:pPr>
            <w:r>
              <w:rPr>
                <w:sz w:val="17"/>
              </w:rPr>
              <w:t>0.6899</w:t>
            </w:r>
          </w:p>
        </w:tc>
      </w:tr>
      <w:tr>
        <w:tc>
          <w:tcPr>
            <w:tcW w:type="dxa" w:w="3744"/>
            <w:vAlign w:val="center"/>
          </w:tcPr>
          <w:p>
            <w:pPr>
              <w:spacing w:line="240" w:lineRule="auto" w:after="0"/>
              <w:jc w:val="left"/>
            </w:pPr>
            <w:r>
              <w:rPr>
                <w:sz w:val="17"/>
              </w:rPr>
              <w:t>fair MLP-concat</w:t>
            </w:r>
          </w:p>
        </w:tc>
        <w:tc>
          <w:tcPr>
            <w:tcW w:type="dxa" w:w="1728"/>
            <w:vAlign w:val="center"/>
          </w:tcPr>
          <w:p>
            <w:pPr>
              <w:spacing w:line="240" w:lineRule="auto" w:after="0"/>
              <w:jc w:val="center"/>
            </w:pPr>
            <w:r>
              <w:rPr>
                <w:sz w:val="17"/>
              </w:rPr>
              <w:t>0.9193</w:t>
            </w:r>
          </w:p>
        </w:tc>
        <w:tc>
          <w:tcPr>
            <w:tcW w:type="dxa" w:w="1728"/>
            <w:vAlign w:val="center"/>
          </w:tcPr>
          <w:p>
            <w:pPr>
              <w:spacing w:line="240" w:lineRule="auto" w:after="0"/>
              <w:jc w:val="center"/>
            </w:pPr>
            <w:r>
              <w:rPr>
                <w:sz w:val="17"/>
              </w:rPr>
              <w:t>0.7953</w:t>
            </w:r>
          </w:p>
        </w:tc>
        <w:tc>
          <w:tcPr>
            <w:tcW w:type="dxa" w:w="1728"/>
            <w:vAlign w:val="center"/>
          </w:tcPr>
          <w:p>
            <w:pPr>
              <w:spacing w:line="240" w:lineRule="auto" w:after="0"/>
              <w:jc w:val="center"/>
            </w:pPr>
            <w:r>
              <w:rPr>
                <w:sz w:val="17"/>
              </w:rPr>
              <w:t>0.7208</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sz w:val="17"/>
              </w:rPr>
              <w:t>0.9196</w:t>
            </w:r>
          </w:p>
        </w:tc>
        <w:tc>
          <w:tcPr>
            <w:tcW w:type="dxa" w:w="1728"/>
            <w:vAlign w:val="center"/>
          </w:tcPr>
          <w:p>
            <w:pPr>
              <w:spacing w:line="240" w:lineRule="auto" w:after="0"/>
              <w:jc w:val="center"/>
            </w:pPr>
            <w:r>
              <w:rPr>
                <w:sz w:val="17"/>
              </w:rPr>
              <w:t>0.7978</w:t>
            </w:r>
          </w:p>
        </w:tc>
        <w:tc>
          <w:tcPr>
            <w:tcW w:type="dxa" w:w="1728"/>
            <w:vAlign w:val="center"/>
          </w:tcPr>
          <w:p>
            <w:pPr>
              <w:spacing w:line="240" w:lineRule="auto" w:after="0"/>
              <w:jc w:val="center"/>
            </w:pPr>
            <w:r>
              <w:rPr>
                <w:sz w:val="17"/>
              </w:rPr>
              <w:t>0.7255</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rPr>
                <w:b/>
                <w:sz w:val="17"/>
              </w:rPr>
              <w:t>Fair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0.9094</w:t>
            </w:r>
          </w:p>
        </w:tc>
        <w:tc>
          <w:tcPr>
            <w:tcW w:type="dxa" w:w="1152"/>
            <w:vAlign w:val="center"/>
          </w:tcPr>
          <w:p>
            <w:pPr>
              <w:spacing w:line="240" w:lineRule="auto" w:after="0"/>
              <w:jc w:val="center"/>
            </w:pPr>
            <w:r>
              <w:rPr>
                <w:sz w:val="17"/>
              </w:rPr>
              <w:t>+0.0098</w:t>
            </w:r>
          </w:p>
        </w:tc>
        <w:tc>
          <w:tcPr>
            <w:tcW w:type="dxa" w:w="2088"/>
            <w:vAlign w:val="center"/>
          </w:tcPr>
          <w:p>
            <w:pPr>
              <w:spacing w:line="240" w:lineRule="auto" w:after="0"/>
              <w:jc w:val="center"/>
            </w:pPr>
            <w:r>
              <w:rPr>
                <w:sz w:val="17"/>
              </w:rPr>
              <w:t>+0.0067 to +0.0131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0.7724</w:t>
            </w:r>
          </w:p>
        </w:tc>
        <w:tc>
          <w:tcPr>
            <w:tcW w:type="dxa" w:w="1152"/>
            <w:vAlign w:val="center"/>
          </w:tcPr>
          <w:p>
            <w:pPr>
              <w:spacing w:line="240" w:lineRule="auto" w:after="0"/>
              <w:jc w:val="center"/>
            </w:pPr>
            <w:r>
              <w:rPr>
                <w:sz w:val="17"/>
              </w:rPr>
              <w:t>+0.0229</w:t>
            </w:r>
          </w:p>
        </w:tc>
        <w:tc>
          <w:tcPr>
            <w:tcW w:type="dxa" w:w="2088"/>
            <w:vAlign w:val="center"/>
          </w:tcPr>
          <w:p>
            <w:pPr>
              <w:spacing w:line="240" w:lineRule="auto" w:after="0"/>
              <w:jc w:val="center"/>
            </w:pPr>
            <w:r>
              <w:rPr>
                <w:sz w:val="17"/>
              </w:rPr>
              <w:t>+0.0157 to +0.0302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0.7002</w:t>
            </w:r>
          </w:p>
        </w:tc>
        <w:tc>
          <w:tcPr>
            <w:tcW w:type="dxa" w:w="1152"/>
            <w:vAlign w:val="center"/>
          </w:tcPr>
          <w:p>
            <w:pPr>
              <w:spacing w:line="240" w:lineRule="auto" w:after="0"/>
              <w:jc w:val="center"/>
            </w:pPr>
            <w:r>
              <w:rPr>
                <w:sz w:val="17"/>
              </w:rPr>
              <w:t>+0.0205</w:t>
            </w:r>
          </w:p>
        </w:tc>
        <w:tc>
          <w:tcPr>
            <w:tcW w:type="dxa" w:w="2088"/>
            <w:vAlign w:val="center"/>
          </w:tcPr>
          <w:p>
            <w:pPr>
              <w:spacing w:line="240" w:lineRule="auto" w:after="0"/>
              <w:jc w:val="center"/>
            </w:pPr>
            <w:r>
              <w:rPr>
                <w:sz w:val="17"/>
              </w:rPr>
              <w:t>+0.0088 to +0.0324</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0.9098</w:t>
            </w:r>
          </w:p>
        </w:tc>
        <w:tc>
          <w:tcPr>
            <w:tcW w:type="dxa" w:w="1152"/>
            <w:vAlign w:val="center"/>
          </w:tcPr>
          <w:p>
            <w:pPr>
              <w:spacing w:line="240" w:lineRule="auto" w:after="0"/>
              <w:jc w:val="center"/>
            </w:pPr>
            <w:r>
              <w:rPr>
                <w:sz w:val="17"/>
              </w:rPr>
              <w:t>+0.0094</w:t>
            </w:r>
          </w:p>
        </w:tc>
        <w:tc>
          <w:tcPr>
            <w:tcW w:type="dxa" w:w="2088"/>
            <w:vAlign w:val="center"/>
          </w:tcPr>
          <w:p>
            <w:pPr>
              <w:spacing w:line="240" w:lineRule="auto" w:after="0"/>
              <w:jc w:val="center"/>
            </w:pPr>
            <w:r>
              <w:rPr>
                <w:sz w:val="17"/>
              </w:rPr>
              <w:t>+0.0062 to +0.0127</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0.7721</w:t>
            </w:r>
          </w:p>
        </w:tc>
        <w:tc>
          <w:tcPr>
            <w:tcW w:type="dxa" w:w="1152"/>
            <w:vAlign w:val="center"/>
          </w:tcPr>
          <w:p>
            <w:pPr>
              <w:spacing w:line="240" w:lineRule="auto" w:after="0"/>
              <w:jc w:val="center"/>
            </w:pPr>
            <w:r>
              <w:rPr>
                <w:sz w:val="17"/>
              </w:rPr>
              <w:t>+0.0232</w:t>
            </w:r>
          </w:p>
        </w:tc>
        <w:tc>
          <w:tcPr>
            <w:tcW w:type="dxa" w:w="2088"/>
            <w:vAlign w:val="center"/>
          </w:tcPr>
          <w:p>
            <w:pPr>
              <w:spacing w:line="240" w:lineRule="auto" w:after="0"/>
              <w:jc w:val="center"/>
            </w:pPr>
            <w:r>
              <w:rPr>
                <w:sz w:val="17"/>
              </w:rPr>
              <w:t>+0.0151 to +0.0308</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rPr>
                <w:sz w:val="17"/>
              </w:rPr>
              <w:t>fair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0.6998</w:t>
            </w:r>
          </w:p>
        </w:tc>
        <w:tc>
          <w:tcPr>
            <w:tcW w:type="dxa" w:w="1152"/>
            <w:vAlign w:val="center"/>
          </w:tcPr>
          <w:p>
            <w:pPr>
              <w:spacing w:line="240" w:lineRule="auto" w:after="0"/>
              <w:jc w:val="center"/>
            </w:pPr>
            <w:r>
              <w:rPr>
                <w:sz w:val="17"/>
              </w:rPr>
              <w:t>+0.0209</w:t>
            </w:r>
          </w:p>
        </w:tc>
        <w:tc>
          <w:tcPr>
            <w:tcW w:type="dxa" w:w="2088"/>
            <w:vAlign w:val="center"/>
          </w:tcPr>
          <w:p>
            <w:pPr>
              <w:spacing w:line="240" w:lineRule="auto" w:after="0"/>
              <w:jc w:val="center"/>
            </w:pPr>
            <w:r>
              <w:rPr>
                <w:sz w:val="17"/>
              </w:rPr>
              <w:t>+0.0098 to +0.0319</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rPr>
          <w:b/>
        </w:rPr>
        <w:t>Table 3 Gated fusion versus fair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fair</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sz w:val="17"/>
              </w:rPr>
              <w:t>+0.0003</w:t>
            </w:r>
          </w:p>
        </w:tc>
        <w:tc>
          <w:tcPr>
            <w:tcW w:type="dxa" w:w="2592"/>
            <w:vAlign w:val="center"/>
          </w:tcPr>
          <w:p>
            <w:pPr>
              <w:spacing w:line="240" w:lineRule="auto" w:after="0"/>
              <w:jc w:val="center"/>
            </w:pPr>
            <w:r>
              <w:rPr>
                <w:sz w:val="17"/>
              </w:rPr>
              <w:t>-0.0015 to 0.0021</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sz w:val="17"/>
              </w:rPr>
              <w:t>+0.0025</w:t>
            </w:r>
          </w:p>
        </w:tc>
        <w:tc>
          <w:tcPr>
            <w:tcW w:type="dxa" w:w="2592"/>
            <w:vAlign w:val="center"/>
          </w:tcPr>
          <w:p>
            <w:pPr>
              <w:spacing w:line="240" w:lineRule="auto" w:after="0"/>
              <w:jc w:val="center"/>
            </w:pPr>
            <w:r>
              <w:rPr>
                <w:sz w:val="17"/>
              </w:rPr>
              <w:t>-0.0014 to 0.0070</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sz w:val="17"/>
              </w:rPr>
              <w:t>+0.0047</w:t>
            </w:r>
          </w:p>
        </w:tc>
        <w:tc>
          <w:tcPr>
            <w:tcW w:type="dxa" w:w="2592"/>
            <w:vAlign w:val="center"/>
          </w:tcPr>
          <w:p>
            <w:pPr>
              <w:spacing w:line="240" w:lineRule="auto" w:after="0"/>
              <w:jc w:val="center"/>
            </w:pPr>
            <w:r>
              <w:rPr>
                <w:sz w:val="17"/>
              </w:rPr>
              <w:t>-0.0044 to 0.0142</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sz w:val="17"/>
              </w:rPr>
              <w:t>0.9071</w:t>
            </w:r>
          </w:p>
        </w:tc>
        <w:tc>
          <w:tcPr>
            <w:tcW w:type="dxa" w:w="1440"/>
            <w:vAlign w:val="center"/>
          </w:tcPr>
          <w:p>
            <w:pPr>
              <w:spacing w:line="240" w:lineRule="auto" w:after="0"/>
              <w:jc w:val="center"/>
            </w:pPr>
            <w:r>
              <w:rPr>
                <w:sz w:val="17"/>
              </w:rPr>
              <w:t>0.6509</w:t>
            </w:r>
          </w:p>
        </w:tc>
        <w:tc>
          <w:tcPr>
            <w:tcW w:type="dxa" w:w="1440"/>
            <w:vAlign w:val="center"/>
          </w:tcPr>
          <w:p>
            <w:pPr>
              <w:spacing w:line="240" w:lineRule="auto" w:after="0"/>
              <w:jc w:val="center"/>
            </w:pPr>
            <w:r>
              <w:rPr>
                <w:sz w:val="17"/>
              </w:rPr>
              <w:t>0.5904</w:t>
            </w:r>
          </w:p>
        </w:tc>
      </w:tr>
      <w:tr>
        <w:tc>
          <w:tcPr>
            <w:tcW w:type="dxa" w:w="2448"/>
            <w:vAlign w:val="center"/>
          </w:tcPr>
          <w:p>
            <w:pPr>
              <w:spacing w:line="240" w:lineRule="auto" w:after="0"/>
              <w:jc w:val="left"/>
            </w:pPr>
            <w:r>
              <w:rPr>
                <w:sz w:val="17"/>
              </w:rPr>
              <w:t>Chapman-Shaoxing</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sz w:val="17"/>
              </w:rPr>
              <w:t>0.8742</w:t>
            </w:r>
          </w:p>
        </w:tc>
        <w:tc>
          <w:tcPr>
            <w:tcW w:type="dxa" w:w="1440"/>
            <w:vAlign w:val="center"/>
          </w:tcPr>
          <w:p>
            <w:pPr>
              <w:spacing w:line="240" w:lineRule="auto" w:after="0"/>
              <w:jc w:val="center"/>
            </w:pPr>
            <w:r>
              <w:rPr>
                <w:sz w:val="17"/>
              </w:rPr>
              <w:t>0.1727</w:t>
            </w:r>
          </w:p>
        </w:tc>
        <w:tc>
          <w:tcPr>
            <w:tcW w:type="dxa" w:w="1440"/>
            <w:vAlign w:val="center"/>
          </w:tcPr>
          <w:p>
            <w:pPr>
              <w:spacing w:line="240" w:lineRule="auto" w:after="0"/>
              <w:jc w:val="center"/>
            </w:pPr>
            <w:r>
              <w:rPr>
                <w:sz w:val="17"/>
              </w:rPr>
              <w:t>0.1650</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0.1262</w:t>
            </w:r>
          </w:p>
        </w:tc>
        <w:tc>
          <w:tcPr>
            <w:tcW w:type="dxa" w:w="1800"/>
            <w:vAlign w:val="center"/>
          </w:tcPr>
          <w:p>
            <w:pPr>
              <w:spacing w:line="240" w:lineRule="auto" w:after="0"/>
              <w:jc w:val="center"/>
            </w:pPr>
            <w:r>
              <w:rPr>
                <w:sz w:val="17"/>
              </w:rPr>
              <w:t>0.4099</w:t>
            </w:r>
          </w:p>
        </w:tc>
      </w:tr>
      <w:tr>
        <w:tc>
          <w:tcPr>
            <w:tcW w:type="dxa" w:w="2592"/>
            <w:vAlign w:val="center"/>
          </w:tcPr>
          <w:p>
            <w:pPr>
              <w:spacing w:line="240" w:lineRule="auto" w:after="0"/>
              <w:jc w:val="left"/>
            </w:pPr>
            <w:r>
              <w:rPr>
                <w:sz w:val="17"/>
              </w:rPr>
              <w:t>Chapman-Shaoxing</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0.1412</w:t>
            </w:r>
          </w:p>
        </w:tc>
        <w:tc>
          <w:tcPr>
            <w:tcW w:type="dxa" w:w="1800"/>
            <w:vAlign w:val="center"/>
          </w:tcPr>
          <w:p>
            <w:pPr>
              <w:spacing w:line="240" w:lineRule="auto" w:after="0"/>
              <w:jc w:val="center"/>
            </w:pPr>
            <w:r>
              <w:rPr>
                <w:sz w:val="17"/>
              </w:rPr>
              <w:t>0.7277</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t>Table 6a structured-feature reproducibility audit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stage14l_signal_embedding_mlp</w:t>
            </w:r>
          </w:p>
        </w:tc>
        <w:tc>
          <w:tcPr>
            <w:tcW w:type="dxa" w:w="1440"/>
            <w:vAlign w:val="center"/>
          </w:tcPr>
          <w:p>
            <w:pPr>
              <w:spacing w:line="240" w:lineRule="auto" w:after="0"/>
              <w:jc w:val="center"/>
            </w:pPr>
            <w:r>
              <w:rPr>
                <w:sz w:val="17"/>
              </w:rPr>
              <w:t>0.9094</w:t>
            </w:r>
          </w:p>
        </w:tc>
        <w:tc>
          <w:tcPr>
            <w:tcW w:type="dxa" w:w="1440"/>
            <w:vAlign w:val="center"/>
          </w:tcPr>
          <w:p>
            <w:pPr>
              <w:spacing w:line="240" w:lineRule="auto" w:after="0"/>
              <w:jc w:val="center"/>
            </w:pPr>
            <w:r>
              <w:rPr>
                <w:sz w:val="17"/>
              </w:rPr>
              <w:t>0.7722</w:t>
            </w:r>
          </w:p>
        </w:tc>
        <w:tc>
          <w:tcPr>
            <w:tcW w:type="dxa" w:w="1440"/>
            <w:vAlign w:val="center"/>
          </w:tcPr>
          <w:p>
            <w:pPr>
              <w:spacing w:line="240" w:lineRule="auto" w:after="0"/>
              <w:jc w:val="center"/>
            </w:pPr>
            <w:r>
              <w:rPr>
                <w:sz w:val="17"/>
              </w:rPr>
              <w:t>0.6981</w:t>
            </w:r>
          </w:p>
        </w:tc>
      </w:tr>
      <w:tr>
        <w:tc>
          <w:tcPr>
            <w:tcW w:type="dxa" w:w="3744"/>
            <w:vAlign w:val="center"/>
          </w:tcPr>
          <w:p>
            <w:pPr>
              <w:spacing w:line="240" w:lineRule="auto" w:after="0"/>
              <w:jc w:val="left"/>
            </w:pPr>
            <w:r>
              <w:rPr>
                <w:sz w:val="17"/>
              </w:rPr>
              <w:t>stage14l_structured_mlp</w:t>
            </w:r>
          </w:p>
        </w:tc>
        <w:tc>
          <w:tcPr>
            <w:tcW w:type="dxa" w:w="1440"/>
            <w:vAlign w:val="center"/>
          </w:tcPr>
          <w:p>
            <w:pPr>
              <w:spacing w:line="240" w:lineRule="auto" w:after="0"/>
              <w:jc w:val="center"/>
            </w:pPr>
            <w:r>
              <w:rPr>
                <w:sz w:val="17"/>
              </w:rPr>
              <w:t>0.5704</w:t>
            </w:r>
          </w:p>
        </w:tc>
        <w:tc>
          <w:tcPr>
            <w:tcW w:type="dxa" w:w="1440"/>
            <w:vAlign w:val="center"/>
          </w:tcPr>
          <w:p>
            <w:pPr>
              <w:spacing w:line="240" w:lineRule="auto" w:after="0"/>
              <w:jc w:val="center"/>
            </w:pPr>
            <w:r>
              <w:rPr>
                <w:sz w:val="17"/>
              </w:rPr>
              <w:t>0.3045</w:t>
            </w:r>
          </w:p>
        </w:tc>
        <w:tc>
          <w:tcPr>
            <w:tcW w:type="dxa" w:w="1440"/>
            <w:vAlign w:val="center"/>
          </w:tcPr>
          <w:p>
            <w:pPr>
              <w:spacing w:line="240" w:lineRule="auto" w:after="0"/>
              <w:jc w:val="center"/>
            </w:pPr>
            <w:r>
              <w:rPr>
                <w:sz w:val="17"/>
              </w:rPr>
              <w:t>0.0000</w:t>
            </w:r>
          </w:p>
        </w:tc>
      </w:tr>
      <w:tr>
        <w:tc>
          <w:tcPr>
            <w:tcW w:type="dxa" w:w="3744"/>
            <w:vAlign w:val="center"/>
          </w:tcPr>
          <w:p>
            <w:pPr>
              <w:spacing w:line="240" w:lineRule="auto" w:after="0"/>
              <w:jc w:val="left"/>
            </w:pPr>
            <w:r>
              <w:rPr>
                <w:sz w:val="17"/>
              </w:rPr>
              <w:t>stage14l_fair_concat_mlp</w:t>
            </w:r>
          </w:p>
        </w:tc>
        <w:tc>
          <w:tcPr>
            <w:tcW w:type="dxa" w:w="1440"/>
            <w:vAlign w:val="center"/>
          </w:tcPr>
          <w:p>
            <w:pPr>
              <w:spacing w:line="240" w:lineRule="auto" w:after="0"/>
              <w:jc w:val="center"/>
            </w:pPr>
            <w:r>
              <w:rPr>
                <w:sz w:val="17"/>
              </w:rPr>
              <w:t>0.9097</w:t>
            </w:r>
          </w:p>
        </w:tc>
        <w:tc>
          <w:tcPr>
            <w:tcW w:type="dxa" w:w="1440"/>
            <w:vAlign w:val="center"/>
          </w:tcPr>
          <w:p>
            <w:pPr>
              <w:spacing w:line="240" w:lineRule="auto" w:after="0"/>
              <w:jc w:val="center"/>
            </w:pPr>
            <w:r>
              <w:rPr>
                <w:sz w:val="17"/>
              </w:rPr>
              <w:t>0.7731</w:t>
            </w:r>
          </w:p>
        </w:tc>
        <w:tc>
          <w:tcPr>
            <w:tcW w:type="dxa" w:w="1440"/>
            <w:vAlign w:val="center"/>
          </w:tcPr>
          <w:p>
            <w:pPr>
              <w:spacing w:line="240" w:lineRule="auto" w:after="0"/>
              <w:jc w:val="center"/>
            </w:pPr>
            <w:r>
              <w:rPr>
                <w:sz w:val="17"/>
              </w:rPr>
              <w:t>0.6938</w:t>
            </w:r>
          </w:p>
        </w:tc>
      </w:tr>
    </w:tbl>
    <w:p>
      <w:pPr>
        <w:spacing w:after="0" w:line="480" w:lineRule="auto"/>
      </w:pPr>
      <w:r>
        <w:t>Note. AP = average precision; AUROC = area under the receiver operating characteristic curve. structured-feature reproducibility audit was a reproducibility/feasibility audit, not an external multimodal validation result.</w:t>
      </w:r>
    </w:p>
    <w:p>
      <w:pPr>
        <w:keepNext/>
        <w:spacing w:line="480" w:lineRule="auto" w:after="0"/>
      </w:pPr>
      <w:r>
        <w:t>Table 6b structured-feature reproducibility audit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0.000201</w:t>
            </w:r>
          </w:p>
        </w:tc>
      </w:tr>
      <w:tr>
        <w:tc>
          <w:tcPr>
            <w:tcW w:type="dxa" w:w="2448"/>
            <w:vAlign w:val="center"/>
          </w:tcPr>
          <w:p>
            <w:pPr>
              <w:spacing w:line="240" w:lineRule="auto" w:after="0"/>
              <w:jc w:val="left"/>
            </w:pPr>
            <w:r>
              <w:rPr>
                <w:sz w:val="17"/>
              </w:rPr>
              <w:t>Chapman-Shaoxing</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0.000044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t>This study evaluated a reproducibility-aware decision-support framework for multimodal ECG risk stratification.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pPr>
        <w:spacing w:line="480" w:lineRule="auto" w:after="0"/>
      </w:pPr>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The effect size was modest, however: the AUROC gain over the signal-embedding comparator was less than one percentage point, while AP and F1 gains were larger but still incremental. This distinction between statistical support and practical magnitude is important for decision-support interpretation.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but modest internal modality complementarity.</w:t>
      </w:r>
    </w:p>
    <w:p>
      <w:pPr>
        <w:pStyle w:val="Heading2"/>
        <w:spacing w:line="480" w:lineRule="auto" w:after="0"/>
      </w:pPr>
      <w:r>
        <w:t>External validation and transportability</w:t>
      </w:r>
    </w:p>
    <w:p>
      <w:pPr>
        <w:spacing w:line="480" w:lineRule="auto" w:after="0"/>
      </w:pPr>
      <w:r>
        <w:t>The external evidence is intentionally limited to signal-only validation. CPSC2018 supported limited signal-level external transportability for the NORM/CD high-confidence label subset. Chapman-Shaoxing showed preserved ranking performance but weak AP and F1, especially in low-prevalence labels. The per-class diagnostic table supports this explanation: Chapman-Shaoxing MI had only 123 positive cases among 45,150 evaluated records, with prevalence 0.0027, AP 0.0796, and F1 0.0277. This pattern is consistent with label mapping constraints, prevalence differences, and transfer of thresholds selected on internal validation data. It also means that the Chapman-Shaoxing MI result should be interpreted primarily as a stress test of signal ranking under label shift, not as robust thresholded-performance evidence. The absence of external threshold tuning strengthens the evaluation protocol but also limits thresholded performance.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central finding</w:t>
      </w:r>
    </w:p>
    <w:p>
      <w:pPr>
        <w:spacing w:line="480" w:lineRule="auto" w:after="0"/>
      </w:pPr>
      <w:r>
        <w:t>The structured-feature reproducibility audit is a key BMC MIDM-compatible contribution because it shows why external multimodal claims are difficult in public multimodal ECG research. The audit found that a reproducibility-validated numerically concordant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unsupported external multimodal validation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and very low-prevalence Chapman-Shaoxing labels should be treated as weak thresholded-performance evidence. Sixth, exact external reconstruction of PTB-XL+ structured features was not achieved. Seventh, decision-curve analysis was exploratory, internal, and threshold-dependent. Eighth,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risk stratification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Chapman-Shaoxing ECG database is available from PhysioNet at https://physionet.org/content/ecg-arrhythmia/.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Alday EAP, Gu A, Shah AJ, Robichaux C, Wong AKI, Liu C, Liu F, Rad AB, Elola A, Seyedi S, et al.. Classification of 12-lead ECGs: the PhysioNet/Computing in Cardiology Challenge 2020. Physiological Measurement. 2020;41:124003. doi:10.1088/1361-6579/abc960.</w:t>
      </w:r>
    </w:p>
    <w:p>
      <w:pPr>
        <w:spacing w:line="480" w:lineRule="auto" w:after="0"/>
      </w:pPr>
      <w:r>
        <w:t>16. He K, Zhang X, Ren S, Sun J. Deep residual learning for image recognition. Proceedings of the IEEE Conference on Computer Vision and Pattern Recognition. 2016:770–778.</w:t>
      </w:r>
    </w:p>
    <w:p>
      <w:pPr>
        <w:spacing w:line="480" w:lineRule="auto" w:after="0"/>
      </w:pPr>
      <w:r>
        <w:t>17. Selvaraju RR, Cogswell M, Das A, Vedantam R, Parikh D, Batra D. Grad-CAM: Visual explanations from deep networks via gradient-based localization. IEEE International Conference on Computer Vision. 2017:618–626.</w:t>
      </w:r>
    </w:p>
    <w:p>
      <w:pPr>
        <w:spacing w:line="480" w:lineRule="auto" w:after="0"/>
      </w:pPr>
      <w:r>
        <w:t>18. Ghassemi M, Oakden-Rayner L, Beam AL. The false hope of current approaches to explainable artificial intelligence in health care. The Lancet Digital Health. 2021;3:e745–e750. doi:10.1016/S2589-7500(21)00208-9.</w:t>
      </w:r>
    </w:p>
    <w:p>
      <w:pPr>
        <w:spacing w:line="480" w:lineRule="auto" w:after="0"/>
      </w:pPr>
      <w:r>
        <w:t>19. Efron B, Tibshirani RJ. An Introduction to the Bootstrap. Chapman and Hall/CRC. 1993.</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fair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fair concat, and gated-fusion comparison. Panel A shows frozen-test AUROC, AP, and F1 across model groups. Panel B shows paired bootstrap deltas supporting fair concat gain over unimodal comparators. Panel C shows that gated fusion did not provide a statistically clear additional benefit over fair concat.</w:t>
      </w:r>
    </w:p>
    <w:p>
      <w:pPr>
        <w:spacing w:line="480" w:lineRule="auto" w:after="0"/>
      </w:pPr>
      <w:r>
        <w:t>Figure 3. External signal-only validation and Chapman-Shaoxing per-class diagnostic context. Panel A shows macro AUROC, AP, and F1 for CPSC2018 and Chapman-Shaoxing. Panel B shows Chapman-Shaoxing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structured-feature reproducibility audit funnel. Panels show reduction from the released 531-column PTB-XL+ schema to the 138-feature numerically concordant subset, reduced-schema internal results, external structured-feature coverage, and the not supported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Structured-feature reproducibility audit.</w:t>
      </w:r>
    </w:p>
    <w:p>
      <w:pPr>
        <w:pStyle w:val="ListBullet"/>
        <w:spacing w:line="480" w:lineRule="auto" w:after="0"/>
      </w:pPr>
      <w:r>
        <w:t>Supplementary Figure S1: Structured-feature reproducibility audit.</w:t>
      </w:r>
    </w:p>
    <w:p>
      <w:pPr>
        <w:pStyle w:val="ListBullet"/>
        <w:spacing w:line="480" w:lineRule="auto" w:after="0"/>
      </w:pPr>
      <w:r>
        <w:t>Supplementary Table S4: Uncertainty triage diagnostics.</w:t>
      </w:r>
    </w:p>
    <w:p>
      <w:pPr>
        <w:pStyle w:val="ListBullet"/>
        <w:spacing w:line="480" w:lineRule="auto" w:after="0"/>
      </w:pPr>
      <w:r>
        <w:t>Supplementary Table S5: Exploratory decision-curve analysis.</w:t>
      </w:r>
    </w:p>
    <w:p>
      <w:pPr>
        <w:pStyle w:val="ListBullet"/>
        <w:spacing w:line="480" w:lineRule="auto" w:after="0"/>
      </w:pPr>
      <w:r>
        <w:t>Supplementary Table S6: XAI case-selection and attribution audit.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fair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structured-feature reproducibility audit funnel.</w:t>
      </w:r>
    </w:p>
    <w:p>
      <w:pPr>
        <w:spacing w:line="480" w:lineRule="auto" w:after="0"/>
      </w:pPr>
      <w:r>
        <w:drawing>
          <wp:inline xmlns:a="http://schemas.openxmlformats.org/drawingml/2006/main" xmlns:pic="http://schemas.openxmlformats.org/drawingml/2006/picture">
            <wp:extent cx="5715000" cy="2989815"/>
            <wp:docPr id="5" name="Picture 5"/>
            <wp:cNvGraphicFramePr>
              <a:graphicFrameLocks noChangeAspect="1"/>
            </wp:cNvGraphicFramePr>
            <a:graphic>
              <a:graphicData uri="http://schemas.openxmlformats.org/drawingml/2006/picture">
                <pic:pic>
                  <pic:nvPicPr>
                    <pic:cNvPr id="0" name="supp_figure_s1_stage14l_reproducibility_audit.png"/>
                    <pic:cNvPicPr/>
                  </pic:nvPicPr>
                  <pic:blipFill>
                    <a:blip r:embed="rId18"/>
                    <a:stretch>
                      <a:fillRect/>
                    </a:stretch>
                  </pic:blipFill>
                  <pic:spPr>
                    <a:xfrm>
                      <a:off x="0" y="0"/>
                      <a:ext cx="5715000" cy="2989815"/>
                    </a:xfrm>
                    <a:prstGeom prst="rect"/>
                  </pic:spPr>
                </pic:pic>
              </a:graphicData>
            </a:graphic>
          </wp:inline>
        </w:drawing>
      </w:r>
    </w:p>
    <w:p>
      <w:pPr>
        <w:spacing w:line="480" w:lineRule="auto" w:after="0"/>
      </w:pPr>
    </w:p>
    <w:p>
      <w:pPr>
        <w:spacing w:line="480" w:lineRule="auto" w:after="0"/>
      </w:pPr>
    </w:p>
    <w:p>
      <w:pPr>
        <w:spacing w:line="480" w:lineRule="auto" w:after="0"/>
      </w:pP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