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t>A Reproducibility-Aware Decision-Support Evaluation Framework for Multimodal ECG Diagnostic Classification</w:t>
      </w:r>
    </w:p>
    <w:p>
      <w:pPr>
        <w:spacing w:line="480" w:lineRule="auto" w:after="0"/>
      </w:pPr>
      <w:r>
        <w:t>Yi Zha^1^, Da Lin^1^, Ying Chen^2^, Yue Liu^2^, Yu Zhang^1,*</w:t>
      </w:r>
    </w:p>
    <w:p>
      <w:pPr>
        <w:spacing w:line="480" w:lineRule="auto" w:after="0"/>
      </w:pPr>
      <w:r>
        <w:t>^1^ The Second Affiliated Hospital of Wenzhou Medical University, Wenzhou, Zhejiang, China.</w:t>
      </w:r>
    </w:p>
    <w:p>
      <w:pPr>
        <w:spacing w:line="480" w:lineRule="auto" w:after="0"/>
      </w:pPr>
      <w:r>
        <w:t>^2^ Wenzhou Medical University, Wenzhou, Zhejiang, China.</w:t>
      </w:r>
    </w:p>
    <w:p>
      <w:pPr>
        <w:spacing w:line="480" w:lineRule="auto" w:after="0"/>
      </w:pPr>
      <w:r>
        <w:t>*Correspondence: Yu Zhang, zhangyu1@wzhealth.com; ORCID: 0000-0001-8579-3692.</w:t>
      </w:r>
    </w:p>
    <w:p>
      <w:pPr>
        <w:pStyle w:val="Heading1"/>
        <w:spacing w:line="480" w:lineRule="auto" w:after="0"/>
      </w:pPr>
      <w:r>
        <w:t>Abstract</w:t>
      </w:r>
    </w:p>
    <w:p>
      <w:pPr>
        <w:spacing w:line="480" w:lineRule="auto" w:after="0"/>
      </w:pPr>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whether released PTB-XL+ structured features support internal multimodal complementarity and whether comparable structured features can be reconstructed with enough fidelity and coverage for external multimodal validation.</w:t>
      </w:r>
    </w:p>
    <w:p>
      <w:pPr>
        <w:spacing w:line="480" w:lineRule="auto" w:after="0"/>
      </w:pPr>
      <w:r>
        <w:rPr>
          <w:b/>
        </w:rPr>
        <w:t>Methods:</w:t>
      </w:r>
      <w:r>
        <w:t xml:space="preserve"> We used PTB-XL waveforms and released PTB-XL+ structured features for internal development and evaluation across five diagnostic superclasses: NORM, MI, STTC, CD, and HYP. Model groups included signal-only, signal-embedding, structured-feature, matched multimodal concatenation, and gated-fusion models. Model selection, threshold tuning, and temperature scaling used internal validation data only. External evaluation was restricted to signal-only validation on CPSC2018 and the Chapman-Shaoxing-Ningbo ECG database using restricted high-confidence label subsets. A structured-feature reproducibility audit tested whether a numerically concordant reduced feature subset could preserve internal multimodal gain and provide adequate external joinability.</w:t>
      </w:r>
    </w:p>
    <w:p>
      <w:pPr>
        <w:spacing w:line="480" w:lineRule="auto" w:after="0"/>
      </w:pPr>
      <w:r>
        <w:rPr>
          <w:b/>
        </w:rPr>
        <w:t>Results:</w:t>
      </w:r>
      <w:r/>
      <w:r>
        <w:rPr>
          <w:b w:val="0"/>
        </w:rPr>
        <w:t xml:space="preserve"> With the released full PTB-XL+ schema, matched multimodal concatenation achieved AUROC 0.9193, average precision 0.7953, and F1 0.7208, exceeding the signal-embedding comparator by +0.0098 AUROC, +0.0229 average precision, and +0.0205 F1. Gated fusion showed no statistically clear advantage over concatenation. The structured-feature reproducibility audit found 138 numerically concordant features, but this concordant subset did not preserve internal multimodal gain and external structured-feature coverage was far below any usable threshold. Robustness controls showed that random-138 and internally importance-ranked 138-feature subsets recovered internal gains, indicating information loss in the concordance-selected subset rather than a 138-feature limit alone. Signal-only external validation achieved macro AUROC 0.9071 on CPSC2018 and 0.8742 on the Chapman-Shaoxing-Ningbo high-confidence label subset, with low AP/F1 in low-prevalence labels.</w:t>
      </w:r>
    </w:p>
    <w:p>
      <w:pPr>
        <w:spacing w:line="480" w:lineRule="auto" w:after="0"/>
      </w:pPr>
      <w:r>
        <w:rPr>
          <w:b/>
        </w:rPr>
        <w:t>Conclusions:</w:t>
      </w:r>
      <w:r/>
      <w:r>
        <w:rPr>
          <w:b w:val="0"/>
        </w:rPr>
        <w:t xml:space="preserve"> The main contribution is a reproducibility-aware evidence boundary: released PTB-XL+ features supported modest internal multimodal complementarity, but the current external structured-feature extraction-and-joining pipeline did not support external multimodal validation. Robustness checks indicated that the failed concordant subset reflected information loss from reproducibility-selected features, not feature count alone. Externally reproducible and sufficiently informative structured features are needed before external multimodal or clinical-use claims can be considered.</w:t>
      </w:r>
    </w:p>
    <w:p>
      <w:pPr>
        <w:pStyle w:val="Heading1"/>
        <w:spacing w:line="480" w:lineRule="auto" w:after="0"/>
      </w:pPr>
      <w:r>
        <w:t>Keywords</w:t>
      </w:r>
    </w:p>
    <w:p>
      <w:pPr>
        <w:spacing w:line="480" w:lineRule="auto" w:after="0"/>
      </w:pPr>
      <w:r>
        <w:t>Electrocardiography; Clinical decision support; Multimodal fusion; Signal-level external validation; Model calibration; Uncertainty estimation; Explainable artificial intelligence; Reproducibility; Public datasets; Evidence boundary.</w:t>
      </w:r>
    </w:p>
    <w:p>
      <w:pPr>
        <w:pStyle w:val="Heading1"/>
        <w:spacing w:line="480" w:lineRule="auto" w:after="0"/>
      </w:pPr>
      <w:r>
        <w:t>Background</w:t>
      </w:r>
    </w:p>
    <w:p>
      <w:pPr>
        <w:spacing w:line="480" w:lineRule="auto" w:after="0"/>
      </w:pPr>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diagnostic assessment.</w:t>
      </w:r>
    </w:p>
    <w:p>
      <w:pPr>
        <w:spacing w:line="480" w:lineRule="auto" w:after="0"/>
      </w:pPr>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pPr>
        <w:spacing w:line="480" w:lineRule="auto" w:after="0"/>
      </w:pPr>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Chapman-Shaoxing-Ningbo also differ from PTB-XL in label scope, prevalence, and annotation structure [13–15]. These differences make it important to separate internal multimodal gains from signal-level external transportability and from structured-feature reconstruction feasibility.</w:t>
      </w:r>
    </w:p>
    <w:p>
      <w:pPr>
        <w:spacing w:line="480" w:lineRule="auto" w:after="0"/>
      </w:pPr>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pPr>
        <w:spacing w:line="480" w:lineRule="auto" w:after="0"/>
      </w:pPr>
      <w:r>
        <w:t>In this study, we evaluated a reproducibility-aware multimodal ECG decision-support framework using PTB-XL/PTB-XL+ internally and CPSC2018 plus the Chapman-Shaoxing-Ningbo ECG database externally. The primary objective was to define whether an internal PTB-XL/PTB-XL+ multimodal result can be responsibly extended to external multimodal validation when structured features must be reconstructed de novo. Secondary objectives were to quantify the internal value of released PTB-XL+ structured features beyond ECG signal embeddings, compare matched concatenation with gated fusion, and report signal-only external behavior under restricted high-confidence label subsets. This was a conservative public-data evaluation, not a clinical deployment study.</w:t>
      </w:r>
    </w:p>
    <w:p>
      <w:pPr>
        <w:pStyle w:val="Heading1"/>
        <w:spacing w:line="480" w:lineRule="auto" w:after="0"/>
      </w:pPr>
      <w:r>
        <w:t>Methods</w:t>
      </w:r>
    </w:p>
    <w:p>
      <w:pPr>
        <w:pStyle w:val="Heading2"/>
        <w:spacing w:line="480" w:lineRule="auto" w:after="0"/>
      </w:pPr>
      <w:r>
        <w:t>Study design</w:t>
      </w:r>
    </w:p>
    <w:p>
      <w:pPr>
        <w:spacing w:line="480" w:lineRule="auto" w:after="0"/>
      </w:pPr>
      <w:r>
        <w:t>This was a public-data model development and evaluation study. The primary internal analysis used PTB-XL waveforms and released PTB-XL+ structured features [1,3]. External validation used CPSC2018 and Chapman-Shaoxing-Ningbo waveforms for signal-only evaluation [13–15]. External structured-feature generation was audited for reproducibility and coverage feasibility, but external structured features were not used for validated multimodal external testing.</w:t>
      </w:r>
    </w:p>
    <w:p>
      <w:pPr>
        <w:spacing w:line="480" w:lineRule="auto" w:after="0"/>
      </w:pPr>
      <w:r>
        <w:t>The evaluation followed a prespecified staged workflow. Initial data-ingestion checks verified the PTB-XL local data layout, parsed diagnostic labels, and generated frozen train, validation, and test files. Internal modeling then compared signal-only, signal-embedding, structured-only, matched concat, and gated fusion models. Subsequent analyses evaluated calibration, uncertainty triage, post-hoc explainability, exploratory decision-curve analysis, signal-only external validation, and structured-feature reproducibility.</w:t>
      </w:r>
    </w:p>
    <w:p>
      <w:pPr>
        <w:pStyle w:val="Heading2"/>
        <w:spacing w:line="480" w:lineRule="auto" w:after="0"/>
      </w:pPr>
      <w:r>
        <w:t>AI-assisted tools and author responsibility</w:t>
      </w:r>
    </w:p>
    <w:p>
      <w:pPr>
        <w:spacing w:line="480" w:lineRule="auto" w:after="0"/>
      </w:pPr>
      <w:r>
        <w:t>AI-assisted programming and language-polishing tools were used to support code generation, debugging, manuscript editing, and figure-package preparation. All analytic decisions, generated outputs, evidence boundaries, and final manuscript wording were reviewed by the authors, who take responsibility for the integrity and accuracy of the work.</w:t>
      </w:r>
    </w:p>
    <w:p>
      <w:pPr>
        <w:spacing w:line="480" w:lineRule="auto" w:after="0"/>
      </w:pPr>
      <w:r>
        <w:t>A TRIPOD+AI-oriented reporting checklist is provided as Supplementary Table S7 [20].</w:t>
      </w:r>
    </w:p>
    <w:p>
      <w:pPr>
        <w:pStyle w:val="Heading2"/>
        <w:spacing w:line="480" w:lineRule="auto" w:after="0"/>
      </w:pPr>
      <w:r>
        <w:t>Data sources and roles</w:t>
      </w:r>
    </w:p>
    <w:p>
      <w:pPr>
        <w:spacing w:line="480" w:lineRule="auto" w:after="0"/>
      </w:pPr>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pPr>
        <w:spacing w:line="480" w:lineRule="auto" w:after="0"/>
      </w:pPr>
      <w:r>
        <w:t>CPSC2018 and the PhysioNet Chapman-Shaoxing-Ningbo ECG database served as external waveform datasets for signal-only validation. CPSC2018 was evaluated for the restricted high-confidence NORM/CD label subset. The Chapman-Shaoxing-Ningbo combined WFDB release was evaluated for the restricted MI/CD/HYP label subset; sinus rhythm labels were not treated as main-analysis NORM. The evaluated 45,150 records refer to this combined PhysioNet release after waveform-readability filtering, not to the earlier 10,646-record Chapman-Shaoxing publication alone. Records that could not be read as WFDB waveforms were excluded. No external threshold tuning, external model selection, or external retraining was performed.</w:t>
      </w:r>
    </w:p>
    <w:p>
      <w:pPr>
        <w:spacing w:line="480" w:lineRule="auto" w:after="0"/>
      </w:pPr>
      <w:r>
        <w:t>The external label mappings are provided as a supplementary audit table. Main external evaluation retained only high-confidence mappings: CPSC2018 contributed NORM and CD, while the Chapman-Shaoxing-Ningbo database contributed MI, CD, and HYP. Medium-confidence labels such as ST-T abnormalities were not used in the main external analysis. This design makes external results label-scope-specific and prevents direct comparison with the five-label internal macro metrics.</w:t>
      </w:r>
    </w:p>
    <w:p>
      <w:pPr>
        <w:spacing w:line="480" w:lineRule="auto" w:after="0"/>
      </w:pPr>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spacing w:line="480" w:lineRule="auto" w:after="0"/>
      </w:pPr>
      <w:r>
        <w:t>Model groups</w:t>
      </w:r>
    </w:p>
    <w:p>
      <w:pPr>
        <w:spacing w:line="480" w:lineRule="auto" w:after="0"/>
      </w:pPr>
      <w:r>
        <w:t>Five internal model groups were evaluated:</w:t>
      </w:r>
    </w:p>
    <w:p>
      <w:pPr>
        <w:pStyle w:val="ListBullet"/>
        <w:spacing w:line="480" w:lineRule="auto" w:after="0"/>
      </w:pPr>
      <w:r>
        <w:t>Strong signal-only model using 100 Hz 12-lead PTB-XL waveforms.</w:t>
      </w:r>
    </w:p>
    <w:p>
      <w:pPr>
        <w:pStyle w:val="ListBullet"/>
        <w:spacing w:line="480" w:lineRule="auto" w:after="0"/>
      </w:pPr>
      <w:r>
        <w:t>Signal-embedding MLP using a 256-dimensional signal representation.</w:t>
      </w:r>
    </w:p>
    <w:p>
      <w:pPr>
        <w:pStyle w:val="ListBullet"/>
        <w:spacing w:line="480" w:lineRule="auto" w:after="0"/>
      </w:pPr>
      <w:r>
        <w:t>Structured-feature MLP using 531 released PTB-XL+ structured features.</w:t>
      </w:r>
    </w:p>
    <w:p>
      <w:pPr>
        <w:pStyle w:val="ListBullet"/>
        <w:spacing w:line="480" w:lineRule="auto" w:after="0"/>
      </w:pPr>
      <w:r>
        <w:t>Matched MLP-concat model combining the 256-dimensional signal embedding with 531 structured features.</w:t>
      </w:r>
    </w:p>
    <w:p>
      <w:pPr>
        <w:pStyle w:val="ListBullet"/>
        <w:spacing w:line="480" w:lineRule="auto" w:after="0"/>
      </w:pPr>
      <w:r>
        <w:t>Gated fusion MLP using the same signal and structured input interface.</w:t>
      </w:r>
    </w:p>
    <w:p>
      <w:pPr>
        <w:spacing w:line="480" w:lineRule="auto" w:after="0"/>
      </w:pPr>
      <w:r>
        <w:t>The strong signal-only model used a one-dimensional residual network with 12 input channels, 100 Hz waveforms, base channel width 64, three residual stages with two blocks per stage, dropout 0.2, and five output labels. Residual learning was used as the general architectural background [16]. The model provided both a direct waveform comparator and the 256-dimensional signal embedding for controlled multimodal comparison; embeddings were extracted from the penultimate representation of the trained signal model and then treated as frozen inputs for downstream MLP and matched-fusion experiments. Signal-embedding and structured MLP comparators used hidden dimensions 256/128 and 512/256, respectively, with dropout 0.3. The matched concat MLP used hidden dimensions 512/256, and the gated-fusion MLP used a 256-unit gating layer and a 256-unit classifier layer. Models used sigmoid multi-label outputs trained with binary cross-entropy with logits. Neural models used AdamW optimization in PyTorch with learning rate 0.001, weight decay 0.0001, batch size 64 for the signal model and 128 for MLP models, validation AUROC-based model selection, and early stopping patience of 8 epochs for the signal model and 10 epochs for MLP models. Maximum epochs were 50 for the signal model and 100 for MLP or gated models. The primary random seed was 2026; repeated-seed checks used seeds 2026, 2027, and 2028. The matched fusion dataset combined signal embeddings and released structured features after median imputation and standardization defined on the training set.</w:t>
      </w:r>
    </w:p>
    <w:p>
      <w:r>
        <w:t>Waveform records were read from the 100 Hz PTB-XL records100 WFDB files using wfdb.rdsamp. For signal-model inputs, each ECG record was represented as a 12-channel waveform and each lead was standardized within record to zero mean and unit variance with a small numerical floor on the standard deviation. The same signal-loader convention was used for signal-level external evaluation after dataset-specific WFDB compatibility checks. For the structured-feature reconstruction audit, candidate ECGdeli processing used the ECGdeli filtering and delineation workflow, including 1-40 Hz band-pass filtering, 50 Hz notch filtering, isoline correction, multichannel fiducial-point annotation, and subsequent amplitude or interval feature extraction where available.</w:t>
      </w:r>
    </w:p>
    <w:p>
      <w:pPr>
        <w:spacing w:line="480" w:lineRule="auto" w:after="0"/>
      </w:pPr>
      <w:r>
        <w:t>The signal-embedding MLP and the strong signal-only model therefore answer related but distinct questions. The signal-embedding MLP controls for the frozen representation used by multimodal fusion, whereas the strong signal-only model evaluates the end-to-end waveform classifier. Both comparators are reported to avoid attributing a multimodal gain to classifier-head differences alone.</w:t>
      </w:r>
    </w:p>
    <w:p>
      <w:pPr>
        <w:pStyle w:val="Heading2"/>
        <w:spacing w:line="480" w:lineRule="auto" w:after="0"/>
      </w:pPr>
      <w:r>
        <w:t>Matched-comparison principle</w:t>
      </w:r>
    </w:p>
    <w:p>
      <w:pPr>
        <w:spacing w:line="480" w:lineRule="auto" w:after="0"/>
      </w:pPr>
      <w:r>
        <w:t>The gated fusion model was compared against matched concat because multimodal gains should not be attributed to architectural complexity when a simple fusion strategy can capture similar information. Signal-embedding, structured-only, matched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spacing w:line="480" w:lineRule="auto" w:after="0"/>
      </w:pPr>
      <w:r>
        <w:t>Calibration</w:t>
      </w:r>
    </w:p>
    <w:p>
      <w:pPr>
        <w:spacing w:line="480" w:lineRule="auto" w:after="0"/>
      </w:pPr>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spacing w:line="480" w:lineRule="auto" w:after="0"/>
      </w:pPr>
      <w:r>
        <w:t>Uncertainty triage</w:t>
      </w:r>
    </w:p>
    <w:p>
      <w:pPr>
        <w:spacing w:line="480" w:lineRule="auto" w:after="0"/>
      </w:pPr>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spacing w:line="480" w:lineRule="auto" w:after="0"/>
      </w:pPr>
      <w:r>
        <w:t>Explainability and XAI</w:t>
      </w:r>
    </w:p>
    <w:p>
      <w:pPr>
        <w:spacing w:line="480" w:lineRule="auto" w:after="0"/>
      </w:pPr>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spacing w:line="480" w:lineRule="auto" w:after="0"/>
      </w:pPr>
      <w:r>
        <w:t>Decision-curve analysis</w:t>
      </w:r>
    </w:p>
    <w:p>
      <w:pPr>
        <w:spacing w:line="480" w:lineRule="auto" w:after="0"/>
      </w:pPr>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spacing w:line="480" w:lineRule="auto" w:after="0"/>
      </w:pPr>
      <w:r>
        <w:t>Structured-feature reproducibility audit</w:t>
      </w:r>
    </w:p>
    <w:p>
      <w:pPr>
        <w:spacing w:line="480" w:lineRule="auto" w:after="0"/>
      </w:pPr>
      <w:r>
        <w:t>The structured-feature reproducibility analysis was treated as a core feasibility audit. Instead of continuing attempts to reconstruct the full PTB-XL+ 531-column schema externally, the audit used a reduced structured-feature subset that had passed internal numerical concordance checks against released PTB-XL+ values. Candidate ECGdeli features were recomputed for a PTB-XL audit sample and compared with released PTB-XL+ values by feature name and ecg_id. A feature entered the reduced subset only when all non-missing paired values satisfied numpy-style allclose criteria with absolute tolerance 1e-6 and relative tolerance 1e-6; the manifest reports missingness, mean absolute error, median absolute error, and maximum absolute error for each selected feature. This subset contained 138 features. The reduced schema was tested internally with signal-embedding, structured-only, and matched concat models, and external coverage was checked for CPSC2018 and the Chapman-Shaoxing-Ningbo database.</w:t>
      </w:r>
    </w:p>
    <w:p>
      <w:pPr>
        <w:spacing w:line="480" w:lineRule="auto" w:after="0"/>
      </w:pPr>
      <w:r>
        <w:t>External joinability was defined operationally as the presence of both a signal-model prediction record and a candidate structured-feature row keyed by the standardized external record identifier after dataset-specific filename normalization. The two-record coverage result therefore supports a narrower conclusion: the current external extraction-and-joining pipeline did not provide enough matched structured rows for external multimodal evaluation. It should not be read as proof that compatible external structured-feature reconstruction is impossible in principle.</w:t>
      </w:r>
    </w:p>
    <w:p>
      <w:pPr>
        <w:spacing w:line="480" w:lineRule="auto" w:after="0"/>
      </w:pPr>
      <w:r>
        <w:t>The decision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not be supported.</w:t>
      </w:r>
    </w:p>
    <w:p>
      <w:r>
        <w:rPr>
          <w:b w:val="0"/>
        </w:rPr>
        <w:t>The concordant-subset audit used a strict numerical agreement rule (absolute and relative tolerance 1e-6) to avoid treating implementation-dependent floating-point drift as interchangeable structured information. A Stage 27 robustness audit evaluated tolerance sensitivity and 138-feature count controls. The feature count remained 138 at 1e-4 and 1e-3 and increased only to 141 at 1e-2; substantially looser tolerances admitted more features but were not treated as exact reproduction. The same audit compared the concordance-selected 138 features with a random 138-feature subset and an internally attribution-ranked 138-feature subset under the same frozen internal split and validation-only model-selection rules. These controls were used to interpret the concordant-subset failure mechanism, not to establish external multimodal validation.</w:t>
      </w:r>
    </w:p>
    <w:p>
      <w:pPr>
        <w:pStyle w:val="Heading2"/>
        <w:spacing w:line="480" w:lineRule="auto" w:after="0"/>
      </w:pPr>
      <w:r>
        <w:t>Statistical analysis</w:t>
      </w:r>
    </w:p>
    <w:p>
      <w:pPr>
        <w:spacing w:line="480" w:lineRule="auto" w:after="0"/>
      </w:pPr>
      <w:r>
        <w:t>Discrimination was summarized using macro AUROC, macro average precision, and macro F1. Macro metrics were computed as the unweighted mean across labels in the evaluated label scope. Thresholded metrics used thresholds selected on internal validation data. The frozen PTB-XL split included 17,418 training records, 2,183 validation records, and 2,198 test records after records without the required five-superclass label representation or readable waveform/feature alignment were excluded from the analysis set. Matched concat was compared with the strongest unimodal comparators using paired record-level bootstrap resampling on the frozen internal test set. Gated fusion and matched concat were also compared using paired bootstrap resampling on the frozen internal test set [19]. For each bootstrap replicate, ECG records were resampled with replacement, all class-specific metrics were recomputed in the resampled set, macro metrics were then recomputed within that replicate, and model deltas were calculated on the paired resample. The primary internal multimodal-gain bootstrap used 2,000 record-level resamples; other diagnostic bootstrap summaries used 1,000 resamples and percentile 95% confidence intervals. Bootstrap confidence intervals were reported without multiplicity adjustment and interpreted descriptively. External diagnostics were reported per dataset and per class. No external threshold optimization was performed.</w:t>
      </w:r>
    </w:p>
    <w:p>
      <w:pPr>
        <w:spacing w:line="480" w:lineRule="auto" w:after="0"/>
      </w:pPr>
      <w:r>
        <w:t>Exploratory decision-curve analysis was calculated per label and then summarized descriptively. The reported macro net benefit is the unweighted mean of label-specific net benefits at a given threshold; this aggregation is not a standard clinical utility endpoint and was used only to summarize internal threshold-dependent behavior. Label-specific DCA results are provided in supplementary source data.</w:t>
      </w:r>
    </w:p>
    <w:p>
      <w:pPr>
        <w:pStyle w:val="Heading1"/>
        <w:spacing w:line="480" w:lineRule="auto" w:after="0"/>
      </w:pPr>
      <w:r>
        <w:t>Results</w:t>
      </w:r>
    </w:p>
    <w:p>
      <w:pPr>
        <w:pStyle w:val="Heading2"/>
        <w:spacing w:line="480" w:lineRule="auto" w:after="0"/>
      </w:pPr>
      <w:r>
        <w:t>Internal full-schema multimodal evaluation</w:t>
      </w:r>
    </w:p>
    <w:p>
      <w:pPr>
        <w:spacing w:line="480" w:lineRule="auto" w:after="0"/>
      </w:pPr>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pPr>
        <w:spacing w:line="480" w:lineRule="auto" w:after="0"/>
      </w:pPr>
      <w:r>
        <w:t>Matched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r>
        <w:t>Note. Gated-fusion F1 values refer to different evaluation pipelines: the main uncalibrated default-threshold test result is 0.7255 (Table 1), the temperature-scaled full-coverage diagnostic result is 0.7314, and the retained-80% uncertainty-triage subset is reported separately. These diagnostics should not replace the Table 1 primary model-comparison endpoint.</w:t>
      </w:r>
    </w:p>
    <w:p>
      <w:pPr>
        <w:pStyle w:val="Heading2"/>
        <w:spacing w:line="480" w:lineRule="auto" w:after="0"/>
      </w:pPr>
      <w:r>
        <w:t>Statistical support for the internal multimodal gain</w:t>
      </w:r>
    </w:p>
    <w:p>
      <w:pPr>
        <w:spacing w:line="480" w:lineRule="auto" w:after="0"/>
      </w:pPr>
      <w:r>
        <w:t>Paired record-level bootstrap analysis supported the internal matched concat gain over the signal-embedding comparator and the strong signal-only comparator. For matched concat minus signal-embedding MLP, the AUROC delta was +0.0098 with a 95% CI from +0.0067 to +0.0131, the AP delta was +0.0229 with a 95% CI from +0.0157 to +0.0302, and the F1 delta was +0.0205 with a 95% CI from +0.0088 to +0.0324. For matched concat minus strong signal-only, the AUROC delta was +0.0094 with a 95% CI from +0.0062 to +0.0127, the AP delta was +0.0232 with a 95% CI from +0.0151 to +0.0308, and the F1 delta was +0.0209 with a 95% CI from +0.0098 to +0.0319. None of these confidence intervals contained zero.</w:t>
      </w:r>
    </w:p>
    <w:p>
      <w:pPr>
        <w:spacing w:line="480" w:lineRule="auto" w:after="0"/>
      </w:pPr>
      <w:r>
        <w:t>These results provide statistical support for an internal multimodal gain, while remaining limited to the PTB-XL/PTB-XL+ internal evaluation setting. The absolute gain was modest, particularly for AUROC, so the result should be interpreted as evidence of modality complementarity rather than as a large performance improvement.</w:t>
      </w:r>
    </w:p>
    <w:p>
      <w:pPr>
        <w:spacing w:line="480" w:lineRule="auto" w:after="0"/>
      </w:pPr>
      <w:r>
        <w:t>Per-superclass internal diagnostics showed that the largest matched-concat improvement over the signal-embedding comparator occurred for HYP, where AUROC increased from 0.8359 to 0.8791, AP from 0.4839 to 0.5918, and F1 from 0.4444 to 0.5393. Differences for NORM, MI, STTC, and CD were smaller and should be interpreted as descriptive per-class context rather than separate confirmatory tests.</w:t>
      </w:r>
    </w:p>
    <w:p>
      <w:pPr>
        <w:pStyle w:val="Heading2"/>
        <w:spacing w:line="480" w:lineRule="auto" w:after="0"/>
      </w:pPr>
      <w:r>
        <w:t>Gated fusion versus matched concat</w:t>
      </w:r>
    </w:p>
    <w:p>
      <w:pPr>
        <w:spacing w:line="480" w:lineRule="auto" w:after="0"/>
      </w:pPr>
      <w:r>
        <w:t>Gated fusion did not show a statistically clear advantage over matched concat. The paired bootstrap delta for AUROC was +0.0003 with a 95% CI from -0.0015 to 0.0021. The AP delta was +0.0025 with a 95% CI from -0.0014 to 0.0070. The F1 delta was +0.0047 with a 95% CI from -0.0044 to 0.0142. All confidence intervals contained zero.</w:t>
      </w:r>
    </w:p>
    <w:p>
      <w:pPr>
        <w:spacing w:line="480" w:lineRule="auto" w:after="0"/>
      </w:pPr>
      <w:r>
        <w:t>These findings support a conservative interpretation: the internal multimodal gain is better attributed to modality complementarity than to an additional benefit from gating.</w:t>
      </w:r>
    </w:p>
    <w:p>
      <w:pPr>
        <w:pStyle w:val="Heading2"/>
        <w:spacing w:line="480" w:lineRule="auto" w:after="0"/>
      </w:pPr>
      <w:r>
        <w:t>Calibration and decision-support diagnostics</w:t>
      </w:r>
    </w:p>
    <w:p>
      <w:pPr>
        <w:spacing w:line="480" w:lineRule="auto" w:after="0"/>
      </w:pPr>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Matched concat had macro Brier score 0.0864 and macro ECE 0.0283. Gated fusion had macro Brier score 0.0844 and macro ECE 0.0193.</w:t>
      </w:r>
    </w:p>
    <w:p>
      <w:pPr>
        <w:spacing w:line="480" w:lineRule="auto" w:after="0"/>
      </w:pPr>
      <w:r>
        <w:t>Uncertainty triage, post-hoc explainability, and exploratory decision-curve analysis were retained as decision-support diagnostics. In the gated-fusion uncertainty analysis, retaining the lowest-uncertainty 80% of the test set retained 1,757 of 2,198 records and referred 441 records. In this retained subset, macro AUROC was 0.9303, AP was 0.8189, F1 was 0.7597, Brier score was 0.0687, and ECE was 0.0161. The corresponding full-coverage uncertainty-analysis values were macro AUROC 0.9196, AP 0.7978, temperature-scaled F1 0.7314, Brier score 0.0844, and ECE 0.0193; the primary Table 1 default-threshold gated-fusion F1 remains 0.7255 under the main performance-evaluation pipeline. Case-level explainability summaries identified retained correct examples, retained errors, and high-uncertainty referred errors; top structured features and signal leads were reported as audit outputs rather than causal explanations. Exploratory internal decision-curve analysis is best interpreted from the threshold curves and representative thresholds rather than as a clinical decision rule. For matched concat, macro net benefit was 0.2146 at threshold 0.10, 0.1908 at threshold 0.20, and 0.1724 at threshold 0.30; the corresponding net benefit versus treat-all was 0.0434, 0.1232, and 0.2380.</w:t>
      </w:r>
    </w:p>
    <w:p>
      <w:pPr>
        <w:pStyle w:val="Heading2"/>
        <w:spacing w:line="480" w:lineRule="auto" w:after="0"/>
      </w:pPr>
      <w:r>
        <w:t>Signal-only external validation</w:t>
      </w:r>
    </w:p>
    <w:p>
      <w:pPr>
        <w:spacing w:line="480" w:lineRule="auto" w:after="0"/>
      </w:pPr>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pPr>
        <w:spacing w:line="480" w:lineRule="auto" w:after="0"/>
      </w:pPr>
      <w:r>
        <w:t>Chapman-Shaoxing-Ningbo signal-only external validation included 45,150 evaluated records for the MI/CD/HYP high-confidence label scope. Macro AUROC was 0.8742, macro AP was 0.1727, and macro F1 was 0.1650. The Chapman-Shaoxing-Ningbo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imperfect cross-dataset label comparability, and transfer of thresholds selected on PTB-XL validation data. The MI result in particular should be viewed as diagnostic context rather than strong evidence of comparable thresholded performance.</w:t>
      </w:r>
    </w:p>
    <w:p>
      <w:pPr>
        <w:spacing w:line="480" w:lineRule="auto" w:after="0"/>
      </w:pPr>
      <w:r>
        <w:t>External validation was signal-only. No external multimodal validation was performed.</w:t>
      </w:r>
    </w:p>
    <w:p>
      <w:pPr>
        <w:pStyle w:val="Heading2"/>
        <w:spacing w:line="480" w:lineRule="auto" w:after="0"/>
      </w:pPr>
      <w:r>
        <w:t>External signal-only calibration</w:t>
      </w:r>
    </w:p>
    <w:p>
      <w:pPr>
        <w:spacing w:line="480" w:lineRule="auto" w:after="0"/>
      </w:pPr>
      <w:r>
        <w:t>External calibration was evaluated without external refitting. CPSC2018 had macro Brier 0.1268, micro Brier 0.1268, macro ECE 0.1262, and macro MCE 0.4099. Chapman-Shaoxing-Ningbo had macro Brier 0.0855, micro Brier 0.0855, macro ECE 0.1412, and macro MCE 0.7277. This no-refit design was intentional: refitting temperature on external test labels would have violated the no-external-tuning evaluation principle.</w:t>
      </w:r>
    </w:p>
    <w:p>
      <w:pPr>
        <w:spacing w:line="480" w:lineRule="auto" w:after="0"/>
      </w:pPr>
      <w:r>
        <w:t>These results should be reported as transparent calibration behavior under distribution shift, not as evidence of clinical calibration readiness. The high external MCE values indicate that temperature scaling fitted on internal validation data did not transfer reliably to external label/data settings; therefore, external probabilities should not be interpreted as calibrated risks.</w:t>
      </w:r>
    </w:p>
    <w:p>
      <w:pPr>
        <w:pStyle w:val="Heading2"/>
        <w:spacing w:line="480" w:lineRule="auto" w:after="0"/>
      </w:pPr>
      <w:r>
        <w:t>Structured-Feature Reproducibility Audit</w:t>
      </w:r>
    </w:p>
    <w:p>
      <w:pPr>
        <w:spacing w:line="480" w:lineRule="auto" w:after="0"/>
      </w:pPr>
      <w:r>
        <w:t>The structured-feature reproducibility audit found that only 138 structured features were available in the numerically concordant subset. In the reduced-schema internal test, the signal-embedding MLP achieved AUROC 0.9094, AP 0.7722, and F1 0.6981. The reduced structured-only MLP showed marked degradation, with AUROC 0.5704, AP 0.3045, and F1 0.0000. The zero F1 reflected default-threshold predictions after loss of most structured-feature information; with validation-tuned thresholds, the same reduced structured-only model reached test F1 0.4002, confirming that the zero default-threshold F1 was a thresholding/probability-scale artifact rather than an empty evaluation pipeline. Reduced matched concat achieved AUROC 0.9097, AP 0.7731, and F1 0.6938, which did not show stable gain over the signal-embedding MLP.</w:t>
      </w:r>
    </w:p>
    <w:p>
      <w:r>
        <w:t>A robustness audit clarified the mechanism of this reduced-schema failure. The strict concordance count was stable across tolerances up to 1e-3 and rose minimally to 141 features at 1e-2. However, feature-count controls showed that 138 features were not inherently insufficient: a random 138-feature subset achieved matched-concat test AUROC 0.9195, AP 0.7960, and F1 0.7110, while an internally importance-ranked 138-feature subset achieved AUROC 0.9221, AP 0.8031, and F1 0.7310. Both controls exceeded the signal-embedding comparator in screening paired bootstrap analyses using 300 record-level resamples. These findings indicate that the concordance-selected subset lost informative structured features; they do not support external multimodal validation because external candidate feature records remained limited to two per dataset.</w:t>
      </w:r>
    </w:p>
    <w:p>
      <w:pPr>
        <w:spacing w:line="480" w:lineRule="auto" w:after="0"/>
      </w:pPr>
      <w:r>
        <w:t>External structured-feature coverage also failed the quality gate. CPSC2018 had 2 joinable candidate structured records among 9,944 signal prediction records, for coverage 0.000201. Chapman-Shaoxing-Ningbo had 2 joinable candidate structured records among 45,150 signal prediction records, for coverage 0.000044.</w:t>
      </w:r>
    </w:p>
    <w:p>
      <w:pPr>
        <w:spacing w:line="480" w:lineRule="auto" w:after="0"/>
      </w:pPr>
      <w:r>
        <w:t>The audit did not support external multimodal validation. This should be presented as a structured-feature reproducibility and feasibility result, not as a failed external multimodal model.</w:t>
      </w:r>
    </w:p>
    <w:p>
      <w:pPr>
        <w:spacing w:line="480" w:lineRule="auto" w:after="0"/>
        <w:sectPr>
          <w:footerReference w:type="default" r:id="rId19"/>
          <w:pgSz w:w="12240" w:h="15840"/>
          <w:pgMar w:top="1440" w:right="1440" w:bottom="1440" w:left="1440" w:header="720" w:footer="720" w:gutter="0"/>
          <w:cols w:space="720"/>
          <w:docGrid w:linePitch="360"/>
          <w:lnNumType w:start="1" w:countBy="1" w:restart="newPage"/>
        </w:sectPr>
      </w:pPr>
    </w:p>
    <w:p>
      <w:pPr>
        <w:pStyle w:val="Heading1"/>
        <w:spacing w:line="480" w:lineRule="auto" w:after="0"/>
      </w:pPr>
      <w:r>
        <w:t>Tables</w:t>
      </w:r>
    </w:p>
    <w:p>
      <w:pPr>
        <w:keepNext/>
        <w:spacing w:line="480" w:lineRule="auto" w:after="0"/>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728"/>
            <w:vAlign w:val="center"/>
            <w:shd w:fill="F2F4F7"/>
          </w:tcPr>
          <w:p>
            <w:pPr>
              <w:spacing w:line="240" w:lineRule="auto" w:after="0"/>
              <w:jc w:val="center"/>
            </w:pPr>
            <w:r>
              <w:rPr>
                <w:b/>
                <w:sz w:val="17"/>
              </w:rPr>
              <w:t>Test AUROC</w:t>
            </w:r>
          </w:p>
        </w:tc>
        <w:tc>
          <w:tcPr>
            <w:tcW w:type="dxa" w:w="1728"/>
            <w:vAlign w:val="center"/>
            <w:shd w:fill="F2F4F7"/>
          </w:tcPr>
          <w:p>
            <w:pPr>
              <w:spacing w:line="240" w:lineRule="auto" w:after="0"/>
              <w:jc w:val="center"/>
            </w:pPr>
            <w:r>
              <w:rPr>
                <w:b/>
                <w:sz w:val="17"/>
              </w:rPr>
              <w:t>Test AP</w:t>
            </w:r>
          </w:p>
        </w:tc>
        <w:tc>
          <w:tcPr>
            <w:tcW w:type="dxa" w:w="1728"/>
            <w:vAlign w:val="center"/>
            <w:shd w:fill="F2F4F7"/>
          </w:tcPr>
          <w:p>
            <w:pPr>
              <w:spacing w:line="240" w:lineRule="auto" w:after="0"/>
              <w:jc w:val="center"/>
            </w:pPr>
            <w:r>
              <w:rPr>
                <w:b/>
                <w:sz w:val="17"/>
              </w:rPr>
              <w:t>Test F1</w:t>
            </w:r>
          </w:p>
        </w:tc>
      </w:tr>
      <w:tr>
        <w:tc>
          <w:tcPr>
            <w:tcW w:type="dxa" w:w="3744"/>
            <w:vAlign w:val="center"/>
          </w:tcPr>
          <w:p>
            <w:pPr>
              <w:spacing w:line="240" w:lineRule="auto" w:after="0"/>
              <w:jc w:val="left"/>
            </w:pPr>
            <w:r>
              <w:rPr>
                <w:sz w:val="17"/>
              </w:rPr>
              <w:t>strong signal-only</w:t>
            </w:r>
          </w:p>
        </w:tc>
        <w:tc>
          <w:tcPr>
            <w:tcW w:type="dxa" w:w="1728"/>
            <w:vAlign w:val="center"/>
          </w:tcPr>
          <w:p>
            <w:pPr>
              <w:spacing w:line="240" w:lineRule="auto" w:after="0"/>
              <w:jc w:val="center"/>
            </w:pPr>
            <w:r>
              <w:rPr>
                <w:sz w:val="17"/>
              </w:rPr>
              <w:t>0.9098</w:t>
            </w:r>
          </w:p>
        </w:tc>
        <w:tc>
          <w:tcPr>
            <w:tcW w:type="dxa" w:w="1728"/>
            <w:vAlign w:val="center"/>
          </w:tcPr>
          <w:p>
            <w:pPr>
              <w:spacing w:line="240" w:lineRule="auto" w:after="0"/>
              <w:jc w:val="center"/>
            </w:pPr>
            <w:r>
              <w:rPr>
                <w:sz w:val="17"/>
              </w:rPr>
              <w:t>0.7721</w:t>
            </w:r>
          </w:p>
        </w:tc>
        <w:tc>
          <w:tcPr>
            <w:tcW w:type="dxa" w:w="1728"/>
            <w:vAlign w:val="center"/>
          </w:tcPr>
          <w:p>
            <w:pPr>
              <w:spacing w:line="240" w:lineRule="auto" w:after="0"/>
              <w:jc w:val="center"/>
            </w:pPr>
            <w:r>
              <w:rPr>
                <w:sz w:val="17"/>
              </w:rPr>
              <w:t>0.6998</w:t>
            </w:r>
          </w:p>
        </w:tc>
      </w:tr>
      <w:tr>
        <w:tc>
          <w:tcPr>
            <w:tcW w:type="dxa" w:w="3744"/>
            <w:vAlign w:val="center"/>
          </w:tcPr>
          <w:p>
            <w:pPr>
              <w:spacing w:line="240" w:lineRule="auto" w:after="0"/>
              <w:jc w:val="left"/>
            </w:pPr>
            <w:r>
              <w:rPr>
                <w:sz w:val="17"/>
              </w:rPr>
              <w:t>signal-embedding MLP</w:t>
            </w:r>
          </w:p>
        </w:tc>
        <w:tc>
          <w:tcPr>
            <w:tcW w:type="dxa" w:w="1728"/>
            <w:vAlign w:val="center"/>
          </w:tcPr>
          <w:p>
            <w:pPr>
              <w:spacing w:line="240" w:lineRule="auto" w:after="0"/>
              <w:jc w:val="center"/>
            </w:pPr>
            <w:r>
              <w:rPr>
                <w:sz w:val="17"/>
              </w:rPr>
              <w:t>0.9094</w:t>
            </w:r>
          </w:p>
        </w:tc>
        <w:tc>
          <w:tcPr>
            <w:tcW w:type="dxa" w:w="1728"/>
            <w:vAlign w:val="center"/>
          </w:tcPr>
          <w:p>
            <w:pPr>
              <w:spacing w:line="240" w:lineRule="auto" w:after="0"/>
              <w:jc w:val="center"/>
            </w:pPr>
            <w:r>
              <w:rPr>
                <w:sz w:val="17"/>
              </w:rPr>
              <w:t>0.7724</w:t>
            </w:r>
          </w:p>
        </w:tc>
        <w:tc>
          <w:tcPr>
            <w:tcW w:type="dxa" w:w="1728"/>
            <w:vAlign w:val="center"/>
          </w:tcPr>
          <w:p>
            <w:pPr>
              <w:spacing w:line="240" w:lineRule="auto" w:after="0"/>
              <w:jc w:val="center"/>
            </w:pPr>
            <w:r>
              <w:rPr>
                <w:sz w:val="17"/>
              </w:rPr>
              <w:t>0.7002</w:t>
            </w:r>
          </w:p>
        </w:tc>
      </w:tr>
      <w:tr>
        <w:tc>
          <w:tcPr>
            <w:tcW w:type="dxa" w:w="3744"/>
            <w:vAlign w:val="center"/>
          </w:tcPr>
          <w:p>
            <w:pPr>
              <w:spacing w:line="240" w:lineRule="auto" w:after="0"/>
              <w:jc w:val="left"/>
            </w:pPr>
            <w:r>
              <w:rPr>
                <w:sz w:val="17"/>
              </w:rPr>
              <w:t>structured MLP</w:t>
            </w:r>
          </w:p>
        </w:tc>
        <w:tc>
          <w:tcPr>
            <w:tcW w:type="dxa" w:w="1728"/>
            <w:vAlign w:val="center"/>
          </w:tcPr>
          <w:p>
            <w:pPr>
              <w:spacing w:line="240" w:lineRule="auto" w:after="0"/>
              <w:jc w:val="center"/>
            </w:pPr>
            <w:r>
              <w:rPr>
                <w:sz w:val="17"/>
              </w:rPr>
              <w:t>0.9046</w:t>
            </w:r>
          </w:p>
        </w:tc>
        <w:tc>
          <w:tcPr>
            <w:tcW w:type="dxa" w:w="1728"/>
            <w:vAlign w:val="center"/>
          </w:tcPr>
          <w:p>
            <w:pPr>
              <w:spacing w:line="240" w:lineRule="auto" w:after="0"/>
              <w:jc w:val="center"/>
            </w:pPr>
            <w:r>
              <w:rPr>
                <w:sz w:val="17"/>
              </w:rPr>
              <w:t>0.7652</w:t>
            </w:r>
          </w:p>
        </w:tc>
        <w:tc>
          <w:tcPr>
            <w:tcW w:type="dxa" w:w="1728"/>
            <w:vAlign w:val="center"/>
          </w:tcPr>
          <w:p>
            <w:pPr>
              <w:spacing w:line="240" w:lineRule="auto" w:after="0"/>
              <w:jc w:val="center"/>
            </w:pPr>
            <w:r>
              <w:rPr>
                <w:sz w:val="17"/>
              </w:rPr>
              <w:t>0.6899</w:t>
            </w:r>
          </w:p>
        </w:tc>
      </w:tr>
      <w:tr>
        <w:tc>
          <w:tcPr>
            <w:tcW w:type="dxa" w:w="3744"/>
            <w:vAlign w:val="center"/>
          </w:tcPr>
          <w:p>
            <w:pPr>
              <w:spacing w:line="240" w:lineRule="auto" w:after="0"/>
              <w:jc w:val="left"/>
            </w:pPr>
            <w:r>
              <w:t>matched MLP-concat</w:t>
            </w:r>
          </w:p>
        </w:tc>
        <w:tc>
          <w:tcPr>
            <w:tcW w:type="dxa" w:w="1728"/>
            <w:vAlign w:val="center"/>
          </w:tcPr>
          <w:p>
            <w:pPr>
              <w:spacing w:line="240" w:lineRule="auto" w:after="0"/>
              <w:jc w:val="center"/>
            </w:pPr>
            <w:r>
              <w:rPr>
                <w:sz w:val="17"/>
              </w:rPr>
              <w:t>0.9193</w:t>
            </w:r>
          </w:p>
        </w:tc>
        <w:tc>
          <w:tcPr>
            <w:tcW w:type="dxa" w:w="1728"/>
            <w:vAlign w:val="center"/>
          </w:tcPr>
          <w:p>
            <w:pPr>
              <w:spacing w:line="240" w:lineRule="auto" w:after="0"/>
              <w:jc w:val="center"/>
            </w:pPr>
            <w:r>
              <w:rPr>
                <w:sz w:val="17"/>
              </w:rPr>
              <w:t>0.7953</w:t>
            </w:r>
          </w:p>
        </w:tc>
        <w:tc>
          <w:tcPr>
            <w:tcW w:type="dxa" w:w="1728"/>
            <w:vAlign w:val="center"/>
          </w:tcPr>
          <w:p>
            <w:pPr>
              <w:spacing w:line="240" w:lineRule="auto" w:after="0"/>
              <w:jc w:val="center"/>
            </w:pPr>
            <w:r>
              <w:rPr>
                <w:sz w:val="17"/>
              </w:rPr>
              <w:t>0.7208</w:t>
            </w:r>
          </w:p>
        </w:tc>
      </w:tr>
      <w:tr>
        <w:tc>
          <w:tcPr>
            <w:tcW w:type="dxa" w:w="3744"/>
            <w:vAlign w:val="center"/>
          </w:tcPr>
          <w:p>
            <w:pPr>
              <w:spacing w:line="240" w:lineRule="auto" w:after="0"/>
              <w:jc w:val="left"/>
            </w:pPr>
            <w:r>
              <w:rPr>
                <w:sz w:val="17"/>
              </w:rPr>
              <w:t>gated fusion MLP</w:t>
            </w:r>
          </w:p>
        </w:tc>
        <w:tc>
          <w:tcPr>
            <w:tcW w:type="dxa" w:w="1728"/>
            <w:vAlign w:val="center"/>
          </w:tcPr>
          <w:p>
            <w:pPr>
              <w:spacing w:line="240" w:lineRule="auto" w:after="0"/>
              <w:jc w:val="center"/>
            </w:pPr>
            <w:r>
              <w:rPr>
                <w:sz w:val="17"/>
              </w:rPr>
              <w:t>0.9196</w:t>
            </w:r>
          </w:p>
        </w:tc>
        <w:tc>
          <w:tcPr>
            <w:tcW w:type="dxa" w:w="1728"/>
            <w:vAlign w:val="center"/>
          </w:tcPr>
          <w:p>
            <w:pPr>
              <w:spacing w:line="240" w:lineRule="auto" w:after="0"/>
              <w:jc w:val="center"/>
            </w:pPr>
            <w:r>
              <w:rPr>
                <w:sz w:val="17"/>
              </w:rPr>
              <w:t>0.7978</w:t>
            </w:r>
          </w:p>
        </w:tc>
        <w:tc>
          <w:tcPr>
            <w:tcW w:type="dxa" w:w="1728"/>
            <w:vAlign w:val="center"/>
          </w:tcPr>
          <w:p>
            <w:pPr>
              <w:spacing w:line="240" w:lineRule="auto" w:after="0"/>
              <w:jc w:val="center"/>
            </w:pPr>
            <w:r>
              <w:rPr>
                <w:sz w:val="17"/>
              </w:rPr>
              <w:t>0.7255</w:t>
            </w:r>
          </w:p>
        </w:tc>
      </w:tr>
    </w:tbl>
    <w:p>
      <w:pPr>
        <w:spacing w:after="0" w:line="480" w:lineRule="auto"/>
      </w:pPr>
      <w:r>
        <w:rPr>
          <w:i/>
          <w:sz w:val="18"/>
        </w:rPr>
        <w:t>Note. AP = average precision; AUROC = area under the receiver operating characteristic curve.</w:t>
      </w:r>
    </w:p>
    <w:p>
      <w:pPr>
        <w:keepNext/>
        <w:spacing w:line="480" w:lineRule="auto" w:after="0"/>
      </w:pPr>
      <w:r>
        <w:rPr>
          <w:b/>
        </w:rPr>
        <w:t>Table 2 Statistical support for the internal multimodal gain</w:t>
      </w:r>
    </w:p>
    <w:p>
      <w:pPr>
        <w:spacing w:line="480" w:lineRule="auto" w:after="0"/>
      </w:pPr>
      <w:r>
        <w:t>Note. Deltas are calculated from unrounded prediction-level estimates and paired bootstrap resamples, so displayed deltas may differ slightly from subtraction of rounded table values.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spacing w:line="240" w:lineRule="auto" w:after="0"/>
              <w:jc w:val="center"/>
            </w:pPr>
            <w:r>
              <w:rPr>
                <w:b/>
                <w:sz w:val="17"/>
              </w:rPr>
              <w:t>Comparison</w:t>
            </w:r>
          </w:p>
        </w:tc>
        <w:tc>
          <w:tcPr>
            <w:tcW w:type="dxa" w:w="1080"/>
            <w:vAlign w:val="center"/>
            <w:shd w:fill="F2F4F7"/>
          </w:tcPr>
          <w:p>
            <w:pPr>
              <w:spacing w:line="240" w:lineRule="auto" w:after="0"/>
              <w:jc w:val="center"/>
            </w:pPr>
            <w:r>
              <w:rPr>
                <w:b/>
                <w:sz w:val="17"/>
              </w:rPr>
              <w:t>Metric</w:t>
            </w:r>
          </w:p>
        </w:tc>
        <w:tc>
          <w:tcPr>
            <w:tcW w:type="dxa" w:w="1368"/>
            <w:vAlign w:val="center"/>
            <w:shd w:fill="F2F4F7"/>
          </w:tcPr>
          <w:p>
            <w:pPr>
              <w:spacing w:line="240" w:lineRule="auto" w:after="0"/>
              <w:jc w:val="center"/>
            </w:pPr>
            <w:r>
              <w:t>Matched concat</w:t>
            </w:r>
          </w:p>
        </w:tc>
        <w:tc>
          <w:tcPr>
            <w:tcW w:type="dxa" w:w="1368"/>
            <w:vAlign w:val="center"/>
            <w:shd w:fill="F2F4F7"/>
          </w:tcPr>
          <w:p>
            <w:pPr>
              <w:spacing w:line="240" w:lineRule="auto" w:after="0"/>
              <w:jc w:val="center"/>
            </w:pPr>
            <w:r>
              <w:rPr>
                <w:b/>
                <w:sz w:val="17"/>
              </w:rPr>
              <w:t>Comparator</w:t>
            </w:r>
          </w:p>
        </w:tc>
        <w:tc>
          <w:tcPr>
            <w:tcW w:type="dxa" w:w="1152"/>
            <w:vAlign w:val="center"/>
            <w:shd w:fill="F2F4F7"/>
          </w:tcPr>
          <w:p>
            <w:pPr>
              <w:spacing w:line="240" w:lineRule="auto" w:after="0"/>
              <w:jc w:val="center"/>
            </w:pPr>
            <w:r>
              <w:rPr>
                <w:b/>
                <w:sz w:val="17"/>
              </w:rPr>
              <w:t>Delta</w:t>
            </w:r>
          </w:p>
        </w:tc>
        <w:tc>
          <w:tcPr>
            <w:tcW w:type="dxa" w:w="2088"/>
            <w:vAlign w:val="center"/>
            <w:shd w:fill="F2F4F7"/>
          </w:tcPr>
          <w:p>
            <w:pPr>
              <w:spacing w:line="240" w:lineRule="auto" w:after="0"/>
              <w:jc w:val="center"/>
            </w:pPr>
            <w:r>
              <w:rPr>
                <w:b/>
                <w:sz w:val="17"/>
              </w:rPr>
              <w:t>95% CI</w:t>
            </w:r>
          </w:p>
        </w:tc>
        <w:tc>
          <w:tcPr>
            <w:tcW w:type="dxa" w:w="1512"/>
            <w:vAlign w:val="center"/>
            <w:shd w:fill="F2F4F7"/>
          </w:tcPr>
          <w:p>
            <w:pPr>
              <w:spacing w:line="240" w:lineRule="auto" w:after="0"/>
              <w:jc w:val="center"/>
            </w:pPr>
            <w:r>
              <w:rPr>
                <w:b/>
                <w:sz w:val="17"/>
              </w:rPr>
              <w:t>CI contains zero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0.9094</w:t>
            </w:r>
          </w:p>
        </w:tc>
        <w:tc>
          <w:tcPr>
            <w:tcW w:type="dxa" w:w="1152"/>
            <w:vAlign w:val="center"/>
          </w:tcPr>
          <w:p>
            <w:pPr>
              <w:spacing w:line="240" w:lineRule="auto" w:after="0"/>
              <w:jc w:val="center"/>
            </w:pPr>
            <w:r>
              <w:rPr>
                <w:sz w:val="17"/>
              </w:rPr>
              <w:t>+0.0098</w:t>
            </w:r>
          </w:p>
        </w:tc>
        <w:tc>
          <w:tcPr>
            <w:tcW w:type="dxa" w:w="2088"/>
            <w:vAlign w:val="center"/>
          </w:tcPr>
          <w:p>
            <w:pPr>
              <w:spacing w:line="240" w:lineRule="auto" w:after="0"/>
              <w:jc w:val="center"/>
            </w:pPr>
            <w:r>
              <w:rPr>
                <w:sz w:val="17"/>
              </w:rPr>
              <w:t>+0.0067 to +0.0131</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0.7724</w:t>
            </w:r>
          </w:p>
        </w:tc>
        <w:tc>
          <w:tcPr>
            <w:tcW w:type="dxa" w:w="1152"/>
            <w:vAlign w:val="center"/>
          </w:tcPr>
          <w:p>
            <w:pPr>
              <w:spacing w:line="240" w:lineRule="auto" w:after="0"/>
              <w:jc w:val="center"/>
            </w:pPr>
            <w:r>
              <w:rPr>
                <w:sz w:val="17"/>
              </w:rPr>
              <w:t>+0.0229</w:t>
            </w:r>
          </w:p>
        </w:tc>
        <w:tc>
          <w:tcPr>
            <w:tcW w:type="dxa" w:w="2088"/>
            <w:vAlign w:val="center"/>
          </w:tcPr>
          <w:p>
            <w:pPr>
              <w:spacing w:line="240" w:lineRule="auto" w:after="0"/>
              <w:jc w:val="center"/>
            </w:pPr>
            <w:r>
              <w:rPr>
                <w:sz w:val="17"/>
              </w:rPr>
              <w:t>+0.0157 to +0.0302</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0.7002</w:t>
            </w:r>
          </w:p>
        </w:tc>
        <w:tc>
          <w:tcPr>
            <w:tcW w:type="dxa" w:w="1152"/>
            <w:vAlign w:val="center"/>
          </w:tcPr>
          <w:p>
            <w:pPr>
              <w:spacing w:line="240" w:lineRule="auto" w:after="0"/>
              <w:jc w:val="center"/>
            </w:pPr>
            <w:r>
              <w:rPr>
                <w:sz w:val="17"/>
              </w:rPr>
              <w:t>+0.0205</w:t>
            </w:r>
          </w:p>
        </w:tc>
        <w:tc>
          <w:tcPr>
            <w:tcW w:type="dxa" w:w="2088"/>
            <w:vAlign w:val="center"/>
          </w:tcPr>
          <w:p>
            <w:pPr>
              <w:spacing w:line="240" w:lineRule="auto" w:after="0"/>
              <w:jc w:val="center"/>
            </w:pPr>
            <w:r>
              <w:rPr>
                <w:sz w:val="17"/>
              </w:rPr>
              <w:t>+0.0088 to +0.0324</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0.9098</w:t>
            </w:r>
          </w:p>
        </w:tc>
        <w:tc>
          <w:tcPr>
            <w:tcW w:type="dxa" w:w="1152"/>
            <w:vAlign w:val="center"/>
          </w:tcPr>
          <w:p>
            <w:pPr>
              <w:spacing w:line="240" w:lineRule="auto" w:after="0"/>
              <w:jc w:val="center"/>
            </w:pPr>
            <w:r>
              <w:rPr>
                <w:sz w:val="17"/>
              </w:rPr>
              <w:t>+0.0094</w:t>
            </w:r>
          </w:p>
        </w:tc>
        <w:tc>
          <w:tcPr>
            <w:tcW w:type="dxa" w:w="2088"/>
            <w:vAlign w:val="center"/>
          </w:tcPr>
          <w:p>
            <w:pPr>
              <w:spacing w:line="240" w:lineRule="auto" w:after="0"/>
              <w:jc w:val="center"/>
            </w:pPr>
            <w:r>
              <w:rPr>
                <w:sz w:val="17"/>
              </w:rPr>
              <w:t>+0.0062 to +0.0127</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0.7721</w:t>
            </w:r>
          </w:p>
        </w:tc>
        <w:tc>
          <w:tcPr>
            <w:tcW w:type="dxa" w:w="1152"/>
            <w:vAlign w:val="center"/>
          </w:tcPr>
          <w:p>
            <w:pPr>
              <w:spacing w:line="240" w:lineRule="auto" w:after="0"/>
              <w:jc w:val="center"/>
            </w:pPr>
            <w:r>
              <w:rPr>
                <w:sz w:val="17"/>
              </w:rPr>
              <w:t>+0.0232</w:t>
            </w:r>
          </w:p>
        </w:tc>
        <w:tc>
          <w:tcPr>
            <w:tcW w:type="dxa" w:w="2088"/>
            <w:vAlign w:val="center"/>
          </w:tcPr>
          <w:p>
            <w:pPr>
              <w:spacing w:line="240" w:lineRule="auto" w:after="0"/>
              <w:jc w:val="center"/>
            </w:pPr>
            <w:r>
              <w:rPr>
                <w:sz w:val="17"/>
              </w:rPr>
              <w:t>+0.0151 to +0.0308</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0.6998</w:t>
            </w:r>
          </w:p>
        </w:tc>
        <w:tc>
          <w:tcPr>
            <w:tcW w:type="dxa" w:w="1152"/>
            <w:vAlign w:val="center"/>
          </w:tcPr>
          <w:p>
            <w:pPr>
              <w:spacing w:line="240" w:lineRule="auto" w:after="0"/>
              <w:jc w:val="center"/>
            </w:pPr>
            <w:r>
              <w:rPr>
                <w:sz w:val="17"/>
              </w:rPr>
              <w:t>+0.0209</w:t>
            </w:r>
          </w:p>
        </w:tc>
        <w:tc>
          <w:tcPr>
            <w:tcW w:type="dxa" w:w="2088"/>
            <w:vAlign w:val="center"/>
          </w:tcPr>
          <w:p>
            <w:pPr>
              <w:spacing w:line="240" w:lineRule="auto" w:after="0"/>
              <w:jc w:val="center"/>
            </w:pPr>
            <w:r>
              <w:rPr>
                <w:sz w:val="17"/>
              </w:rPr>
              <w:t>+0.0098 to +0.0319</w:t>
            </w:r>
          </w:p>
        </w:tc>
        <w:tc>
          <w:tcPr>
            <w:tcW w:type="dxa" w:w="1512"/>
            <w:vAlign w:val="center"/>
          </w:tcPr>
          <w:p>
            <w:pPr>
              <w:spacing w:line="240" w:lineRule="auto" w:after="0"/>
              <w:jc w:val="center"/>
            </w:pPr>
            <w:r>
              <w:rPr>
                <w:sz w:val="17"/>
              </w:rPr>
              <w:t>no</w:t>
            </w:r>
          </w:p>
        </w:tc>
      </w:tr>
    </w:tbl>
    <w:p>
      <w:pPr>
        <w:spacing w:after="0" w:line="480" w:lineRule="auto"/>
      </w:pPr>
      <w:r>
        <w:rPr>
          <w:i/>
          <w:sz w:val="18"/>
        </w:rPr>
        <w:t>Note. AP = average precision; AUROC = area under the receiver operating characteristic curve; CI = confidence interval. Thresholds were selected on internal validation data only.</w:t>
      </w:r>
    </w:p>
    <w:p>
      <w:pPr>
        <w:keepNext/>
        <w:spacing w:line="480" w:lineRule="auto" w:after="0"/>
      </w:pPr>
      <w:r>
        <w:t>Table 3 Gated fusion versus matched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spacing w:line="240" w:lineRule="auto" w:after="0"/>
              <w:jc w:val="center"/>
            </w:pPr>
            <w:r>
              <w:rPr>
                <w:b/>
                <w:sz w:val="17"/>
              </w:rPr>
              <w:t>Metric</w:t>
            </w:r>
          </w:p>
        </w:tc>
        <w:tc>
          <w:tcPr>
            <w:tcW w:type="dxa" w:w="2448"/>
            <w:vAlign w:val="center"/>
            <w:shd w:fill="F2F4F7"/>
          </w:tcPr>
          <w:p>
            <w:pPr>
              <w:spacing w:line="240" w:lineRule="auto" w:after="0"/>
              <w:jc w:val="center"/>
            </w:pPr>
            <w:r>
              <w:rPr>
                <w:b/>
                <w:sz w:val="17"/>
              </w:rPr>
              <w:t>Delta gated minus matched concat</w:t>
            </w:r>
          </w:p>
        </w:tc>
        <w:tc>
          <w:tcPr>
            <w:tcW w:type="dxa" w:w="2592"/>
            <w:vAlign w:val="center"/>
            <w:shd w:fill="F2F4F7"/>
          </w:tcPr>
          <w:p>
            <w:pPr>
              <w:spacing w:line="240" w:lineRule="auto" w:after="0"/>
              <w:jc w:val="center"/>
            </w:pPr>
            <w:r>
              <w:rPr>
                <w:b/>
                <w:sz w:val="17"/>
              </w:rPr>
              <w:t>95% CI</w:t>
            </w:r>
          </w:p>
        </w:tc>
        <w:tc>
          <w:tcPr>
            <w:tcW w:type="dxa" w:w="2880"/>
            <w:vAlign w:val="center"/>
            <w:shd w:fill="F2F4F7"/>
          </w:tcPr>
          <w:p>
            <w:pPr>
              <w:spacing w:line="240" w:lineRule="auto" w:after="0"/>
              <w:jc w:val="center"/>
            </w:pPr>
            <w:r>
              <w:rPr>
                <w:b/>
                <w:sz w:val="17"/>
              </w:rPr>
              <w:t>Interpretation</w:t>
            </w:r>
          </w:p>
        </w:tc>
      </w:tr>
      <w:tr>
        <w:tc>
          <w:tcPr>
            <w:tcW w:type="dxa" w:w="1440"/>
            <w:vAlign w:val="center"/>
          </w:tcPr>
          <w:p>
            <w:pPr>
              <w:spacing w:line="240" w:lineRule="auto" w:after="0"/>
              <w:jc w:val="left"/>
            </w:pPr>
            <w:r>
              <w:rPr>
                <w:sz w:val="17"/>
              </w:rPr>
              <w:t>AUROC</w:t>
            </w:r>
          </w:p>
        </w:tc>
        <w:tc>
          <w:tcPr>
            <w:tcW w:type="dxa" w:w="2448"/>
            <w:vAlign w:val="center"/>
          </w:tcPr>
          <w:p>
            <w:pPr>
              <w:spacing w:line="240" w:lineRule="auto" w:after="0"/>
              <w:jc w:val="center"/>
            </w:pPr>
            <w:r>
              <w:rPr>
                <w:sz w:val="17"/>
              </w:rPr>
              <w:t>+0.0003</w:t>
            </w:r>
          </w:p>
        </w:tc>
        <w:tc>
          <w:tcPr>
            <w:tcW w:type="dxa" w:w="2592"/>
            <w:vAlign w:val="center"/>
          </w:tcPr>
          <w:p>
            <w:pPr>
              <w:spacing w:line="240" w:lineRule="auto" w:after="0"/>
              <w:jc w:val="center"/>
            </w:pPr>
            <w:r>
              <w:rPr>
                <w:sz w:val="17"/>
              </w:rPr>
              <w:t>-0.0015 to 0.0021</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AP</w:t>
            </w:r>
          </w:p>
        </w:tc>
        <w:tc>
          <w:tcPr>
            <w:tcW w:type="dxa" w:w="2448"/>
            <w:vAlign w:val="center"/>
          </w:tcPr>
          <w:p>
            <w:pPr>
              <w:spacing w:line="240" w:lineRule="auto" w:after="0"/>
              <w:jc w:val="center"/>
            </w:pPr>
            <w:r>
              <w:rPr>
                <w:sz w:val="17"/>
              </w:rPr>
              <w:t>+0.0025</w:t>
            </w:r>
          </w:p>
        </w:tc>
        <w:tc>
          <w:tcPr>
            <w:tcW w:type="dxa" w:w="2592"/>
            <w:vAlign w:val="center"/>
          </w:tcPr>
          <w:p>
            <w:pPr>
              <w:spacing w:line="240" w:lineRule="auto" w:after="0"/>
              <w:jc w:val="center"/>
            </w:pPr>
            <w:r>
              <w:rPr>
                <w:sz w:val="17"/>
              </w:rPr>
              <w:t>-0.0014 to 0.0070</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F1</w:t>
            </w:r>
          </w:p>
        </w:tc>
        <w:tc>
          <w:tcPr>
            <w:tcW w:type="dxa" w:w="2448"/>
            <w:vAlign w:val="center"/>
          </w:tcPr>
          <w:p>
            <w:pPr>
              <w:spacing w:line="240" w:lineRule="auto" w:after="0"/>
              <w:jc w:val="center"/>
            </w:pPr>
            <w:r>
              <w:rPr>
                <w:sz w:val="17"/>
              </w:rPr>
              <w:t>+0.0047</w:t>
            </w:r>
          </w:p>
        </w:tc>
        <w:tc>
          <w:tcPr>
            <w:tcW w:type="dxa" w:w="2592"/>
            <w:vAlign w:val="center"/>
          </w:tcPr>
          <w:p>
            <w:pPr>
              <w:spacing w:line="240" w:lineRule="auto" w:after="0"/>
              <w:jc w:val="center"/>
            </w:pPr>
            <w:r>
              <w:rPr>
                <w:sz w:val="17"/>
              </w:rPr>
              <w:t>-0.0044 to 0.0142</w:t>
            </w:r>
          </w:p>
        </w:tc>
        <w:tc>
          <w:tcPr>
            <w:tcW w:type="dxa" w:w="2880"/>
            <w:vAlign w:val="center"/>
          </w:tcPr>
          <w:p>
            <w:pPr>
              <w:spacing w:line="240" w:lineRule="auto" w:after="0"/>
              <w:jc w:val="center"/>
            </w:pPr>
            <w:r>
              <w:rPr>
                <w:sz w:val="17"/>
              </w:rPr>
              <w:t>CI contains zero</w:t>
            </w:r>
          </w:p>
        </w:tc>
      </w:tr>
    </w:tbl>
    <w:p>
      <w:pPr>
        <w:spacing w:after="0" w:line="480" w:lineRule="auto"/>
      </w:pPr>
      <w:r>
        <w:rPr>
          <w:i/>
          <w:sz w:val="18"/>
        </w:rPr>
        <w:t>Note. AP = average precision; AUROC = area under the receiver operating characteristic curve; CI = confidence interval.</w:t>
      </w:r>
    </w:p>
    <w:p>
      <w:pPr>
        <w:keepNext/>
        <w:spacing w:line="480" w:lineRule="auto" w:after="0"/>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spacing w:line="240" w:lineRule="auto" w:after="0"/>
              <w:jc w:val="center"/>
            </w:pPr>
            <w:r>
              <w:rPr>
                <w:b/>
                <w:sz w:val="17"/>
              </w:rPr>
              <w:t>Dataset</w:t>
            </w:r>
          </w:p>
        </w:tc>
        <w:tc>
          <w:tcPr>
            <w:tcW w:type="dxa" w:w="2015"/>
            <w:vAlign w:val="center"/>
            <w:shd w:fill="F2F4F7"/>
          </w:tcPr>
          <w:p>
            <w:pPr>
              <w:spacing w:line="240" w:lineRule="auto" w:after="0"/>
              <w:jc w:val="center"/>
            </w:pPr>
            <w:r>
              <w:rPr>
                <w:b/>
                <w:sz w:val="17"/>
              </w:rPr>
              <w:t>Label scope</w:t>
            </w:r>
          </w:p>
        </w:tc>
        <w:tc>
          <w:tcPr>
            <w:tcW w:type="dxa" w:w="1296"/>
            <w:vAlign w:val="center"/>
            <w:shd w:fill="F2F4F7"/>
          </w:tcPr>
          <w:p>
            <w:pPr>
              <w:spacing w:line="240" w:lineRule="auto" w:after="0"/>
              <w:jc w:val="center"/>
            </w:pPr>
            <w:r>
              <w:rPr>
                <w:b/>
                <w:sz w:val="17"/>
              </w:rPr>
              <w:t>N</w:t>
            </w:r>
          </w:p>
        </w:tc>
        <w:tc>
          <w:tcPr>
            <w:tcW w:type="dxa" w:w="1655"/>
            <w:vAlign w:val="center"/>
            <w:shd w:fill="F2F4F7"/>
          </w:tcPr>
          <w:p>
            <w:pPr>
              <w:spacing w:line="240" w:lineRule="auto" w:after="0"/>
              <w:jc w:val="center"/>
            </w:pPr>
            <w:r>
              <w:rPr>
                <w:b/>
                <w:sz w:val="17"/>
              </w:rPr>
              <w:t>Macro AUROC</w:t>
            </w:r>
          </w:p>
        </w:tc>
        <w:tc>
          <w:tcPr>
            <w:tcW w:type="dxa" w:w="1440"/>
            <w:vAlign w:val="center"/>
            <w:shd w:fill="F2F4F7"/>
          </w:tcPr>
          <w:p>
            <w:pPr>
              <w:spacing w:line="240" w:lineRule="auto" w:after="0"/>
              <w:jc w:val="center"/>
            </w:pPr>
            <w:r>
              <w:rPr>
                <w:b/>
                <w:sz w:val="17"/>
              </w:rPr>
              <w:t>Macro AP</w:t>
            </w:r>
          </w:p>
        </w:tc>
        <w:tc>
          <w:tcPr>
            <w:tcW w:type="dxa" w:w="1440"/>
            <w:vAlign w:val="center"/>
            <w:shd w:fill="F2F4F7"/>
          </w:tcPr>
          <w:p>
            <w:pPr>
              <w:spacing w:line="240" w:lineRule="auto" w:after="0"/>
              <w:jc w:val="center"/>
            </w:pPr>
            <w:r>
              <w:rPr>
                <w:b/>
                <w:sz w:val="17"/>
              </w:rPr>
              <w:t>Macro F1</w:t>
            </w:r>
          </w:p>
        </w:tc>
      </w:tr>
      <w:tr>
        <w:tc>
          <w:tcPr>
            <w:tcW w:type="dxa" w:w="2448"/>
            <w:vAlign w:val="center"/>
          </w:tcPr>
          <w:p>
            <w:pPr>
              <w:spacing w:line="240" w:lineRule="auto" w:after="0"/>
              <w:jc w:val="left"/>
            </w:pPr>
            <w:r>
              <w:rPr>
                <w:sz w:val="17"/>
              </w:rPr>
              <w:t>CPSC2018</w:t>
            </w:r>
          </w:p>
        </w:tc>
        <w:tc>
          <w:tcPr>
            <w:tcW w:type="dxa" w:w="2015"/>
            <w:vAlign w:val="center"/>
          </w:tcPr>
          <w:p>
            <w:pPr>
              <w:spacing w:line="240" w:lineRule="auto" w:after="0"/>
              <w:jc w:val="center"/>
            </w:pPr>
            <w:r>
              <w:rPr>
                <w:sz w:val="17"/>
              </w:rPr>
              <w:t>NORM/CD</w:t>
            </w:r>
          </w:p>
        </w:tc>
        <w:tc>
          <w:tcPr>
            <w:tcW w:type="dxa" w:w="1296"/>
            <w:vAlign w:val="center"/>
          </w:tcPr>
          <w:p>
            <w:pPr>
              <w:spacing w:line="240" w:lineRule="auto" w:after="0"/>
              <w:jc w:val="center"/>
            </w:pPr>
            <w:r>
              <w:rPr>
                <w:sz w:val="17"/>
              </w:rPr>
              <w:t>9,944</w:t>
            </w:r>
          </w:p>
        </w:tc>
        <w:tc>
          <w:tcPr>
            <w:tcW w:type="dxa" w:w="1655"/>
            <w:vAlign w:val="center"/>
          </w:tcPr>
          <w:p>
            <w:pPr>
              <w:spacing w:line="240" w:lineRule="auto" w:after="0"/>
              <w:jc w:val="center"/>
            </w:pPr>
            <w:r>
              <w:rPr>
                <w:sz w:val="17"/>
              </w:rPr>
              <w:t>0.9071</w:t>
            </w:r>
          </w:p>
        </w:tc>
        <w:tc>
          <w:tcPr>
            <w:tcW w:type="dxa" w:w="1440"/>
            <w:vAlign w:val="center"/>
          </w:tcPr>
          <w:p>
            <w:pPr>
              <w:spacing w:line="240" w:lineRule="auto" w:after="0"/>
              <w:jc w:val="center"/>
            </w:pPr>
            <w:r>
              <w:rPr>
                <w:sz w:val="17"/>
              </w:rPr>
              <w:t>0.6509</w:t>
            </w:r>
          </w:p>
        </w:tc>
        <w:tc>
          <w:tcPr>
            <w:tcW w:type="dxa" w:w="1440"/>
            <w:vAlign w:val="center"/>
          </w:tcPr>
          <w:p>
            <w:pPr>
              <w:spacing w:line="240" w:lineRule="auto" w:after="0"/>
              <w:jc w:val="center"/>
            </w:pPr>
            <w:r>
              <w:rPr>
                <w:sz w:val="17"/>
              </w:rPr>
              <w:t>0.5904</w:t>
            </w:r>
          </w:p>
        </w:tc>
      </w:tr>
      <w:tr>
        <w:tc>
          <w:tcPr>
            <w:tcW w:type="dxa" w:w="2448"/>
            <w:vAlign w:val="center"/>
          </w:tcPr>
          <w:p>
            <w:pPr>
              <w:spacing w:line="240" w:lineRule="auto" w:after="0"/>
              <w:jc w:val="left"/>
            </w:pPr>
            <w:r>
              <w:t>Chapman-Shaoxing-Ningbo</w:t>
            </w:r>
          </w:p>
        </w:tc>
        <w:tc>
          <w:tcPr>
            <w:tcW w:type="dxa" w:w="2015"/>
            <w:vAlign w:val="center"/>
          </w:tcPr>
          <w:p>
            <w:pPr>
              <w:spacing w:line="240" w:lineRule="auto" w:after="0"/>
              <w:jc w:val="center"/>
            </w:pPr>
            <w:r>
              <w:rPr>
                <w:sz w:val="17"/>
              </w:rPr>
              <w:t>MI/CD/HYP</w:t>
            </w:r>
          </w:p>
        </w:tc>
        <w:tc>
          <w:tcPr>
            <w:tcW w:type="dxa" w:w="1296"/>
            <w:vAlign w:val="center"/>
          </w:tcPr>
          <w:p>
            <w:pPr>
              <w:spacing w:line="240" w:lineRule="auto" w:after="0"/>
              <w:jc w:val="center"/>
            </w:pPr>
            <w:r>
              <w:rPr>
                <w:sz w:val="17"/>
              </w:rPr>
              <w:t>45,150</w:t>
            </w:r>
          </w:p>
        </w:tc>
        <w:tc>
          <w:tcPr>
            <w:tcW w:type="dxa" w:w="1655"/>
            <w:vAlign w:val="center"/>
          </w:tcPr>
          <w:p>
            <w:pPr>
              <w:spacing w:line="240" w:lineRule="auto" w:after="0"/>
              <w:jc w:val="center"/>
            </w:pPr>
            <w:r>
              <w:rPr>
                <w:sz w:val="17"/>
              </w:rPr>
              <w:t>0.8742</w:t>
            </w:r>
          </w:p>
        </w:tc>
        <w:tc>
          <w:tcPr>
            <w:tcW w:type="dxa" w:w="1440"/>
            <w:vAlign w:val="center"/>
          </w:tcPr>
          <w:p>
            <w:pPr>
              <w:spacing w:line="240" w:lineRule="auto" w:after="0"/>
              <w:jc w:val="center"/>
            </w:pPr>
            <w:r>
              <w:rPr>
                <w:sz w:val="17"/>
              </w:rPr>
              <w:t>0.1727</w:t>
            </w:r>
          </w:p>
        </w:tc>
        <w:tc>
          <w:tcPr>
            <w:tcW w:type="dxa" w:w="1440"/>
            <w:vAlign w:val="center"/>
          </w:tcPr>
          <w:p>
            <w:pPr>
              <w:spacing w:line="240" w:lineRule="auto" w:after="0"/>
              <w:jc w:val="center"/>
            </w:pPr>
            <w:r>
              <w:rPr>
                <w:sz w:val="17"/>
              </w:rPr>
              <w:t>0.1650</w:t>
            </w:r>
          </w:p>
        </w:tc>
      </w:tr>
    </w:tbl>
    <w:p>
      <w:pPr>
        <w:spacing w:after="0" w:line="480" w:lineRule="auto"/>
      </w:pPr>
      <w:r>
        <w:rPr>
          <w:i/>
          <w:sz w:val="18"/>
        </w:rPr>
        <w:t>Note. AP = average precision; AUROC = area under the receiver operating characteristic curve. External validation was signal-only, and thresholds were selected on internal validation data only.</w:t>
      </w:r>
    </w:p>
    <w:p>
      <w:pPr>
        <w:keepNext/>
        <w:spacing w:line="480" w:lineRule="auto" w:after="0"/>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spacing w:line="240" w:lineRule="auto" w:after="0"/>
              <w:jc w:val="center"/>
            </w:pPr>
            <w:r>
              <w:rPr>
                <w:b/>
                <w:sz w:val="17"/>
              </w:rPr>
              <w:t>Dataset</w:t>
            </w:r>
          </w:p>
        </w:tc>
        <w:tc>
          <w:tcPr>
            <w:tcW w:type="dxa" w:w="1800"/>
            <w:vAlign w:val="center"/>
            <w:shd w:fill="F2F4F7"/>
          </w:tcPr>
          <w:p>
            <w:pPr>
              <w:spacing w:line="240" w:lineRule="auto" w:after="0"/>
              <w:jc w:val="center"/>
            </w:pPr>
            <w:r>
              <w:rPr>
                <w:b/>
                <w:sz w:val="17"/>
              </w:rPr>
              <w:t>Macro Brier</w:t>
            </w:r>
          </w:p>
        </w:tc>
        <w:tc>
          <w:tcPr>
            <w:tcW w:type="dxa" w:w="1800"/>
            <w:vAlign w:val="center"/>
            <w:shd w:fill="F2F4F7"/>
          </w:tcPr>
          <w:p>
            <w:pPr>
              <w:spacing w:line="240" w:lineRule="auto" w:after="0"/>
              <w:jc w:val="center"/>
            </w:pPr>
            <w:r>
              <w:rPr>
                <w:b/>
                <w:sz w:val="17"/>
              </w:rPr>
              <w:t>Micro Brier</w:t>
            </w:r>
          </w:p>
        </w:tc>
        <w:tc>
          <w:tcPr>
            <w:tcW w:type="dxa" w:w="1800"/>
            <w:vAlign w:val="center"/>
            <w:shd w:fill="F2F4F7"/>
          </w:tcPr>
          <w:p>
            <w:pPr>
              <w:spacing w:line="240" w:lineRule="auto" w:after="0"/>
              <w:jc w:val="center"/>
            </w:pPr>
            <w:r>
              <w:rPr>
                <w:b/>
                <w:sz w:val="17"/>
              </w:rPr>
              <w:t>Macro ECE</w:t>
            </w:r>
          </w:p>
        </w:tc>
        <w:tc>
          <w:tcPr>
            <w:tcW w:type="dxa" w:w="1800"/>
            <w:vAlign w:val="center"/>
            <w:shd w:fill="F2F4F7"/>
          </w:tcPr>
          <w:p>
            <w:pPr>
              <w:spacing w:line="240" w:lineRule="auto" w:after="0"/>
              <w:jc w:val="center"/>
            </w:pPr>
            <w:r>
              <w:rPr>
                <w:b/>
                <w:sz w:val="17"/>
              </w:rPr>
              <w:t>Macro MCE</w:t>
            </w:r>
          </w:p>
        </w:tc>
      </w:tr>
      <w:tr>
        <w:tc>
          <w:tcPr>
            <w:tcW w:type="dxa" w:w="2592"/>
            <w:vAlign w:val="center"/>
          </w:tcPr>
          <w:p>
            <w:pPr>
              <w:spacing w:line="240" w:lineRule="auto" w:after="0"/>
              <w:jc w:val="left"/>
            </w:pPr>
            <w:r>
              <w:rPr>
                <w:sz w:val="17"/>
              </w:rPr>
              <w:t>CPSC2018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0.1262</w:t>
            </w:r>
          </w:p>
        </w:tc>
        <w:tc>
          <w:tcPr>
            <w:tcW w:type="dxa" w:w="1800"/>
            <w:vAlign w:val="center"/>
          </w:tcPr>
          <w:p>
            <w:pPr>
              <w:spacing w:line="240" w:lineRule="auto" w:after="0"/>
              <w:jc w:val="center"/>
            </w:pPr>
            <w:r>
              <w:rPr>
                <w:sz w:val="17"/>
              </w:rPr>
              <w:t>0.4099</w:t>
            </w:r>
          </w:p>
        </w:tc>
      </w:tr>
      <w:tr>
        <w:tc>
          <w:tcPr>
            <w:tcW w:type="dxa" w:w="2592"/>
            <w:vAlign w:val="center"/>
          </w:tcPr>
          <w:p>
            <w:pPr>
              <w:spacing w:line="240" w:lineRule="auto" w:after="0"/>
              <w:jc w:val="left"/>
            </w:pPr>
            <w:r>
              <w:t>Chapman-Shaoxing-Ningbo</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0.1412</w:t>
            </w:r>
          </w:p>
        </w:tc>
        <w:tc>
          <w:tcPr>
            <w:tcW w:type="dxa" w:w="1800"/>
            <w:vAlign w:val="center"/>
          </w:tcPr>
          <w:p>
            <w:pPr>
              <w:spacing w:line="240" w:lineRule="auto" w:after="0"/>
              <w:jc w:val="center"/>
            </w:pPr>
            <w:r>
              <w:rPr>
                <w:sz w:val="17"/>
              </w:rPr>
              <w:t>0.7277</w:t>
            </w:r>
          </w:p>
        </w:tc>
      </w:tr>
    </w:tbl>
    <w:p>
      <w:pPr>
        <w:spacing w:after="0" w:line="480" w:lineRule="auto"/>
      </w:pPr>
      <w:r>
        <w:rPr>
          <w:i/>
          <w:sz w:val="18"/>
        </w:rPr>
        <w:t>Note. ECE = expected calibration error; MCE = maximum calibration error. External calibration was evaluated without external refitting.</w:t>
      </w:r>
    </w:p>
    <w:p>
      <w:pPr>
        <w:keepNext/>
        <w:spacing w:line="480" w:lineRule="auto" w:after="0"/>
      </w:pPr>
      <w:r>
        <w:t>Table 6a Structured-feature reproducibility audit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440"/>
            <w:vAlign w:val="center"/>
            <w:shd w:fill="F2F4F7"/>
          </w:tcPr>
          <w:p>
            <w:pPr>
              <w:spacing w:line="240" w:lineRule="auto" w:after="0"/>
              <w:jc w:val="center"/>
            </w:pPr>
            <w:r>
              <w:rPr>
                <w:b/>
                <w:sz w:val="17"/>
              </w:rPr>
              <w:t>AUROC</w:t>
            </w:r>
          </w:p>
        </w:tc>
        <w:tc>
          <w:tcPr>
            <w:tcW w:type="dxa" w:w="1440"/>
            <w:vAlign w:val="center"/>
            <w:shd w:fill="F2F4F7"/>
          </w:tcPr>
          <w:p>
            <w:pPr>
              <w:spacing w:line="240" w:lineRule="auto" w:after="0"/>
              <w:jc w:val="center"/>
            </w:pPr>
            <w:r>
              <w:rPr>
                <w:b/>
                <w:sz w:val="17"/>
              </w:rPr>
              <w:t>AP</w:t>
            </w:r>
          </w:p>
        </w:tc>
        <w:tc>
          <w:tcPr>
            <w:tcW w:type="dxa" w:w="1440"/>
            <w:vAlign w:val="center"/>
            <w:shd w:fill="F2F4F7"/>
          </w:tcPr>
          <w:p>
            <w:pPr>
              <w:spacing w:line="240" w:lineRule="auto" w:after="0"/>
              <w:jc w:val="center"/>
            </w:pPr>
            <w:r>
              <w:rPr>
                <w:b/>
                <w:sz w:val="17"/>
              </w:rPr>
              <w:t>F1</w:t>
            </w:r>
          </w:p>
        </w:tc>
      </w:tr>
      <w:tr>
        <w:tc>
          <w:tcPr>
            <w:tcW w:type="dxa" w:w="3744"/>
            <w:vAlign w:val="center"/>
          </w:tcPr>
          <w:p>
            <w:pPr>
              <w:spacing w:line="240" w:lineRule="auto" w:after="0"/>
              <w:jc w:val="left"/>
            </w:pPr>
            <w:r>
              <w:rPr>
                <w:sz w:val="17"/>
              </w:rPr>
              <w:t>Signal-embedding MLP (reduced-schema audit)</w:t>
            </w:r>
          </w:p>
        </w:tc>
        <w:tc>
          <w:tcPr>
            <w:tcW w:type="dxa" w:w="1440"/>
            <w:vAlign w:val="center"/>
          </w:tcPr>
          <w:p>
            <w:pPr>
              <w:spacing w:line="240" w:lineRule="auto" w:after="0"/>
              <w:jc w:val="center"/>
            </w:pPr>
            <w:r>
              <w:rPr>
                <w:sz w:val="17"/>
              </w:rPr>
              <w:t>0.9094</w:t>
            </w:r>
          </w:p>
        </w:tc>
        <w:tc>
          <w:tcPr>
            <w:tcW w:type="dxa" w:w="1440"/>
            <w:vAlign w:val="center"/>
          </w:tcPr>
          <w:p>
            <w:pPr>
              <w:spacing w:line="240" w:lineRule="auto" w:after="0"/>
              <w:jc w:val="center"/>
            </w:pPr>
            <w:r>
              <w:rPr>
                <w:sz w:val="17"/>
              </w:rPr>
              <w:t>0.7722</w:t>
            </w:r>
          </w:p>
        </w:tc>
        <w:tc>
          <w:tcPr>
            <w:tcW w:type="dxa" w:w="1440"/>
            <w:vAlign w:val="center"/>
          </w:tcPr>
          <w:p>
            <w:pPr>
              <w:spacing w:line="240" w:lineRule="auto" w:after="0"/>
              <w:jc w:val="center"/>
            </w:pPr>
            <w:r>
              <w:rPr>
                <w:sz w:val="17"/>
              </w:rPr>
              <w:t>0.6981</w:t>
            </w:r>
          </w:p>
        </w:tc>
      </w:tr>
      <w:tr>
        <w:tc>
          <w:tcPr>
            <w:tcW w:type="dxa" w:w="3744"/>
            <w:vAlign w:val="center"/>
          </w:tcPr>
          <w:p>
            <w:pPr>
              <w:spacing w:line="240" w:lineRule="auto" w:after="0"/>
              <w:jc w:val="left"/>
            </w:pPr>
            <w:r>
              <w:rPr>
                <w:sz w:val="17"/>
              </w:rPr>
              <w:t>Reduced structured-only MLP</w:t>
            </w:r>
          </w:p>
        </w:tc>
        <w:tc>
          <w:tcPr>
            <w:tcW w:type="dxa" w:w="1440"/>
            <w:vAlign w:val="center"/>
          </w:tcPr>
          <w:p>
            <w:pPr>
              <w:spacing w:line="240" w:lineRule="auto" w:after="0"/>
              <w:jc w:val="center"/>
            </w:pPr>
            <w:r>
              <w:rPr>
                <w:sz w:val="17"/>
              </w:rPr>
              <w:t>0.5704</w:t>
            </w:r>
          </w:p>
        </w:tc>
        <w:tc>
          <w:tcPr>
            <w:tcW w:type="dxa" w:w="1440"/>
            <w:vAlign w:val="center"/>
          </w:tcPr>
          <w:p>
            <w:pPr>
              <w:spacing w:line="240" w:lineRule="auto" w:after="0"/>
              <w:jc w:val="center"/>
            </w:pPr>
            <w:r>
              <w:rPr>
                <w:sz w:val="17"/>
              </w:rPr>
              <w:t>0.3045</w:t>
            </w:r>
          </w:p>
        </w:tc>
        <w:tc>
          <w:tcPr>
            <w:tcW w:type="dxa" w:w="1440"/>
            <w:vAlign w:val="center"/>
          </w:tcPr>
          <w:p>
            <w:pPr>
              <w:spacing w:line="240" w:lineRule="auto" w:after="0"/>
              <w:jc w:val="center"/>
            </w:pPr>
            <w:r>
              <w:rPr>
                <w:sz w:val="17"/>
              </w:rPr>
              <w:t>0.0000</w:t>
            </w:r>
          </w:p>
        </w:tc>
      </w:tr>
      <w:tr>
        <w:tc>
          <w:tcPr>
            <w:tcW w:type="dxa" w:w="3744"/>
            <w:vAlign w:val="center"/>
          </w:tcPr>
          <w:p>
            <w:pPr>
              <w:spacing w:line="240" w:lineRule="auto" w:after="0"/>
              <w:jc w:val="left"/>
            </w:pPr>
            <w:r>
              <w:rPr>
                <w:sz w:val="17"/>
              </w:rPr>
              <w:t>Reduced matched-concat MLP</w:t>
            </w:r>
          </w:p>
        </w:tc>
        <w:tc>
          <w:tcPr>
            <w:tcW w:type="dxa" w:w="1440"/>
            <w:vAlign w:val="center"/>
          </w:tcPr>
          <w:p>
            <w:pPr>
              <w:spacing w:line="240" w:lineRule="auto" w:after="0"/>
              <w:jc w:val="center"/>
            </w:pPr>
            <w:r>
              <w:rPr>
                <w:sz w:val="17"/>
              </w:rPr>
              <w:t>0.9097</w:t>
            </w:r>
          </w:p>
        </w:tc>
        <w:tc>
          <w:tcPr>
            <w:tcW w:type="dxa" w:w="1440"/>
            <w:vAlign w:val="center"/>
          </w:tcPr>
          <w:p>
            <w:pPr>
              <w:spacing w:line="240" w:lineRule="auto" w:after="0"/>
              <w:jc w:val="center"/>
            </w:pPr>
            <w:r>
              <w:rPr>
                <w:sz w:val="17"/>
              </w:rPr>
              <w:t>0.7731</w:t>
            </w:r>
          </w:p>
        </w:tc>
        <w:tc>
          <w:tcPr>
            <w:tcW w:type="dxa" w:w="1440"/>
            <w:vAlign w:val="center"/>
          </w:tcPr>
          <w:p>
            <w:pPr>
              <w:spacing w:line="240" w:lineRule="auto" w:after="0"/>
              <w:jc w:val="center"/>
            </w:pPr>
            <w:r>
              <w:rPr>
                <w:sz w:val="17"/>
              </w:rPr>
              <w:t>0.6938</w:t>
            </w:r>
          </w:p>
        </w:tc>
      </w:tr>
    </w:tbl>
    <w:p>
      <w:pPr>
        <w:spacing w:after="0" w:line="480" w:lineRule="auto"/>
      </w:pPr>
      <w:r>
        <w:t>Note. AP = average precision; AUROC = area under the receiver operating characteristic curve. structured-feature reproducibility audit was a reproducibility/feasibility audit, not an external multimodal validation result.</w:t>
      </w:r>
    </w:p>
    <w:p>
      <w:pPr>
        <w:keepNext/>
        <w:spacing w:line="480" w:lineRule="auto" w:after="0"/>
      </w:pPr>
      <w:r>
        <w:t>Table 6b Structured-feature reproducibility audit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spacing w:line="240" w:lineRule="auto" w:after="0"/>
              <w:jc w:val="center"/>
            </w:pPr>
            <w:r>
              <w:rPr>
                <w:b/>
                <w:sz w:val="17"/>
              </w:rPr>
              <w:t>Dataset</w:t>
            </w:r>
          </w:p>
        </w:tc>
        <w:tc>
          <w:tcPr>
            <w:tcW w:type="dxa" w:w="1872"/>
            <w:vAlign w:val="center"/>
            <w:shd w:fill="F2F4F7"/>
          </w:tcPr>
          <w:p>
            <w:pPr>
              <w:spacing w:line="240" w:lineRule="auto" w:after="0"/>
              <w:jc w:val="center"/>
            </w:pPr>
            <w:r>
              <w:rPr>
                <w:b/>
                <w:sz w:val="17"/>
              </w:rPr>
              <w:t>Signal records</w:t>
            </w:r>
          </w:p>
        </w:tc>
        <w:tc>
          <w:tcPr>
            <w:tcW w:type="dxa" w:w="2880"/>
            <w:vAlign w:val="center"/>
            <w:shd w:fill="F2F4F7"/>
          </w:tcPr>
          <w:p>
            <w:pPr>
              <w:spacing w:line="240" w:lineRule="auto" w:after="0"/>
              <w:jc w:val="center"/>
            </w:pPr>
            <w:r>
              <w:rPr>
                <w:b/>
                <w:sz w:val="17"/>
              </w:rPr>
              <w:t>Joinable structured records</w:t>
            </w:r>
          </w:p>
        </w:tc>
        <w:tc>
          <w:tcPr>
            <w:tcW w:type="dxa" w:w="1584"/>
            <w:vAlign w:val="center"/>
            <w:shd w:fill="F2F4F7"/>
          </w:tcPr>
          <w:p>
            <w:pPr>
              <w:spacing w:line="240" w:lineRule="auto" w:after="0"/>
              <w:jc w:val="center"/>
            </w:pPr>
            <w:r>
              <w:rPr>
                <w:b/>
                <w:sz w:val="17"/>
              </w:rPr>
              <w:t>Coverage</w:t>
            </w:r>
          </w:p>
        </w:tc>
      </w:tr>
      <w:tr>
        <w:tc>
          <w:tcPr>
            <w:tcW w:type="dxa" w:w="2448"/>
            <w:vAlign w:val="center"/>
          </w:tcPr>
          <w:p>
            <w:pPr>
              <w:spacing w:line="240" w:lineRule="auto" w:after="0"/>
              <w:jc w:val="left"/>
            </w:pPr>
            <w:r>
              <w:rPr>
                <w:sz w:val="17"/>
              </w:rPr>
              <w:t>CPSC2018</w:t>
            </w:r>
          </w:p>
        </w:tc>
        <w:tc>
          <w:tcPr>
            <w:tcW w:type="dxa" w:w="1872"/>
            <w:vAlign w:val="center"/>
          </w:tcPr>
          <w:p>
            <w:pPr>
              <w:spacing w:line="240" w:lineRule="auto" w:after="0"/>
              <w:jc w:val="center"/>
            </w:pPr>
            <w:r>
              <w:rPr>
                <w:sz w:val="17"/>
              </w:rPr>
              <w:t>9,944</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0.000201</w:t>
            </w:r>
          </w:p>
        </w:tc>
      </w:tr>
      <w:tr>
        <w:tc>
          <w:tcPr>
            <w:tcW w:type="dxa" w:w="2448"/>
            <w:vAlign w:val="center"/>
          </w:tcPr>
          <w:p>
            <w:pPr>
              <w:spacing w:line="240" w:lineRule="auto" w:after="0"/>
              <w:jc w:val="left"/>
            </w:pPr>
            <w:r>
              <w:t>Chapman-Shaoxing-Ningbo</w:t>
            </w:r>
          </w:p>
        </w:tc>
        <w:tc>
          <w:tcPr>
            <w:tcW w:type="dxa" w:w="1872"/>
            <w:vAlign w:val="center"/>
          </w:tcPr>
          <w:p>
            <w:pPr>
              <w:spacing w:line="240" w:lineRule="auto" w:after="0"/>
              <w:jc w:val="center"/>
            </w:pPr>
            <w:r>
              <w:rPr>
                <w:sz w:val="17"/>
              </w:rPr>
              <w:t>45,150</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0.000044</w:t>
            </w:r>
          </w:p>
        </w:tc>
      </w:tr>
    </w:tbl>
    <w:p>
      <w:pPr>
        <w:spacing w:after="0" w:line="480" w:lineRule="auto"/>
      </w:pPr>
      <w:r>
        <w:rPr>
          <w:i/>
          <w:sz w:val="18"/>
        </w:rPr>
        <w:t>Note. The external structured-feature coverage was insufficient to support external multimodal validation.</w:t>
      </w:r>
    </w:p>
    <w:p>
      <w:pPr>
        <w:spacing w:line="480" w:lineRule="auto" w:after="0"/>
        <w:sectPr>
          <w:pgSz w:w="15840" w:h="12240" w:orient="landscape"/>
          <w:pgMar w:top="1008" w:right="1008" w:bottom="1008" w:left="1008" w:header="720" w:footer="720" w:gutter="0"/>
          <w:cols w:space="720"/>
          <w:docGrid w:linePitch="360"/>
          <w:lnNumType w:start="1" w:countBy="1" w:restart="newPage"/>
        </w:sectPr>
      </w:pPr>
    </w:p>
    <w:p>
      <w:pPr>
        <w:pStyle w:val="Heading1"/>
        <w:spacing w:line="480" w:lineRule="auto" w:after="0"/>
      </w:pPr>
      <w:r>
        <w:t>Discussion</w:t>
      </w:r>
    </w:p>
    <w:p>
      <w:pPr>
        <w:pStyle w:val="Heading2"/>
        <w:spacing w:line="480" w:lineRule="auto" w:after="0"/>
      </w:pPr>
      <w:r>
        <w:t>Principal findings</w:t>
      </w:r>
    </w:p>
    <w:p>
      <w:pPr>
        <w:spacing w:line="480" w:lineRule="auto" w:after="0"/>
      </w:pPr>
      <w:r>
        <w:t>This study evaluated a reproducibility-aware decision-support framework for multimodal ECG diagnostic classification. The principal finding is that internal multimodal evidence and external multimodal validation can diverge when structured features are released for the internal dataset but cannot be reconstructed and joined externally with adequate fidelity and coverage. The full-schema PTB-XL/PTB-XL+ experiments supported modest internal multimodal complementarity, but the structured-feature reproducibility audit did not support external multimodal validation. This evidence-boundary result is the central contribution of the study.</w:t>
      </w:r>
    </w:p>
    <w:p>
      <w:pPr>
        <w:spacing w:line="480" w:lineRule="auto" w:after="0"/>
      </w:pPr>
      <w:r>
        <w:t>The internal full-schema results showed that released PTB-XL+ structured features added value beyond ECG signal embeddings under frozen PTB-XL splits. Paired bootstrap analysis supported the matched concat gain over both the signal-embedding MLP and the strong signal-only comparator for AUROC, AP, and F1. The effect size was modest, however: the AUROC gain over the signal-embedding comparator was less than one percentage point, while AP and F1 gains were larger but still incremental. This distinction between statistical support and practical magnitude is important for decision-support interpretation. Gated fusion was numerically close to matched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but modest internal modality complementarity.</w:t>
      </w:r>
    </w:p>
    <w:p>
      <w:r>
        <w:t>Per-superclass diagnostics suggested that much of the internal multimodal gain was concentrated in HYP: AUROC increased from 0.8359 to 0.8791, AP from 0.4839 to 0.5918, and F1 from 0.4444 to 0.5393 when matched concat was compared with the signal-embedding MLP. This pattern narrows the interpretation of modality complementarity: the released structured measurements appear most helpful for the hypertrophy superclass in this benchmark, while gains for NORM, MI, STTC, and CD were smaller and should be read descriptively.</w:t>
      </w:r>
    </w:p>
    <w:p>
      <w:pPr>
        <w:pStyle w:val="Heading2"/>
        <w:spacing w:line="480" w:lineRule="auto" w:after="0"/>
      </w:pPr>
      <w:r>
        <w:t>External validation and transportability</w:t>
      </w:r>
    </w:p>
    <w:p>
      <w:pPr>
        <w:spacing w:line="480" w:lineRule="auto" w:after="0"/>
      </w:pPr>
      <w:r>
        <w:t>The external evidence is intentionally limited to signal-only validation. CPSC2018 supported limited signal-level external transportability for the NORM/CD high-confidence label subset. Chapman-Shaoxing-Ningbo showed preserved ranking performance but weak AP and F1, especially in low-prevalence labels. The per-class diagnostic table supports this explanation: Chapman-Shaoxing-Ningbo MI had only 123 positive cases among 45,150 evaluated records, with prevalence 0.0027, AP 0.0796, and F1 0.0277. This pattern is consistent with label mapping constraints, prevalence differences, and transfer of thresholds selected on internal validation data. It also means that the Chapman-Shaoxing-Ningbo MI result should be interpreted primarily as a stress test of signal ranking under label shift, not as robust thresholded-performance evidence. The absence of external threshold tuning strengthens the evaluation protocol but also limits thresholded performance.</w:t>
      </w:r>
    </w:p>
    <w:p>
      <w:pPr>
        <w:spacing w:line="480" w:lineRule="auto" w:after="0"/>
      </w:pPr>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spacing w:line="480" w:lineRule="auto" w:after="0"/>
      </w:pPr>
      <w:r>
        <w:t>Decision-support evaluation layers</w:t>
      </w:r>
    </w:p>
    <w:p>
      <w:pPr>
        <w:spacing w:line="480" w:lineRule="auto" w:after="0"/>
      </w:pPr>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spacing w:line="480" w:lineRule="auto" w:after="0"/>
      </w:pPr>
      <w:r>
        <w:t>Structured-feature reproducibility as a feasibility boundary</w:t>
      </w:r>
    </w:p>
    <w:p>
      <w:pPr>
        <w:spacing w:line="480" w:lineRule="auto" w:after="0"/>
      </w:pPr>
      <w:r>
        <w:rPr>
          <w:b w:val="0"/>
        </w:rPr>
        <w:t>The structured-feature reproducibility audit is an important BMC MIDM-compatible contribution because it separates internal reuse of released PTB-XL+ features from de novo reconstruction of comparable external structured features. The Stage 27 controls sharpened this interpretation. Random and internally importance-ranked 138-feature subsets recovered internal multimodal gains, whereas the concordance-selected 138-feature subset did not. Therefore, the audit should not be read as evidence that any 138-feature structured representation is inadequate. Rather, it shows that the features that were easiest to reproduce numerically were not the features carrying most of the internal multimodal signal, and that the current external extraction-and-joining pipeline did not yield enough candidate records for external multimodal testing. The practical implication remains conservative: released internal PTB-XL+ values can support internal multimodal experiments, but the present external WFDB reconstruction workflow is not sufficient for external multimodal validation.</w:t>
      </w:r>
    </w:p>
    <w:p>
      <w:pPr>
        <w:spacing w:line="480" w:lineRule="auto" w:after="0"/>
      </w:pPr>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spacing w:line="480" w:lineRule="auto" w:after="0"/>
      </w:pPr>
      <w:r>
        <w:t>Strengths</w:t>
      </w:r>
    </w:p>
    <w:p>
      <w:pPr>
        <w:spacing w:line="480" w:lineRule="auto" w:after="0"/>
      </w:pPr>
      <w:r>
        <w:t>The study's main strength is transparent boundary-setting. It avoids claiming more than the data support and directly reports negative or near-null findings, including the gated-versus-concat null result and the unsupported external multimodal validation decision. This approach is well suited to medical informatics, where model-performance claims need to be connected to reproducibility, calibration, external transportability, and auditability.</w:t>
      </w:r>
    </w:p>
    <w:p>
      <w:pPr>
        <w:pStyle w:val="Heading2"/>
        <w:spacing w:line="480" w:lineRule="auto" w:after="0"/>
      </w:pPr>
      <w:r>
        <w:t>Limitations</w:t>
      </w:r>
    </w:p>
    <w:p>
      <w:pPr>
        <w:spacing w:line="480" w:lineRule="auto" w:after="0"/>
      </w:pPr>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Chapman-Shaoxing-Ningbo were necessarily incomplete, and very low-prevalence Chapman-Shaoxing-Ningbo labels should be treated as weak thresholded-performance evidence. Sixth, exact external reconstruction of PTB-XL+ structured features was not achieved. Seventh, bootstrap intervals and multiple diagnostic comparisons were reported descriptively without multiplicity correction. Eighth, decision-curve analysis was exploratory, internal, and threshold-dependent. Ninth, no clinical workflow, clinician interaction, or patient-outcome study was performed.</w:t>
      </w:r>
    </w:p>
    <w:p>
      <w:pPr>
        <w:pStyle w:val="Heading1"/>
        <w:spacing w:line="480" w:lineRule="auto" w:after="0"/>
      </w:pPr>
      <w:r>
        <w:t>Conclusions</w:t>
      </w:r>
    </w:p>
    <w:p>
      <w:pPr>
        <w:spacing w:line="480" w:lineRule="auto" w:after="0"/>
      </w:pPr>
      <w:r>
        <w:t>This framework supports reproducibility-aware evaluation of multimodal ECG diagnostic classification. It showed modest internal multimodal complementarity, while external validation was limited to signal-only evaluation and did not test multimodal complementarity. Simple matched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spacing w:line="480" w:lineRule="auto" w:after="0"/>
      </w:pPr>
      <w:r>
        <w:t>List of Abbreviations</w:t>
      </w:r>
    </w:p>
    <w:p>
      <w:pPr>
        <w:spacing w:line="480" w:lineRule="auto" w:after="0"/>
      </w:pPr>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spacing w:line="480" w:lineRule="auto" w:after="0"/>
      </w:pPr>
      <w:r>
        <w:t>Declarations</w:t>
      </w:r>
    </w:p>
    <w:p>
      <w:pPr>
        <w:pStyle w:val="Heading2"/>
        <w:spacing w:line="480" w:lineRule="auto" w:after="0"/>
      </w:pPr>
      <w:r>
        <w:t>Ethics approval and consent to participate</w:t>
      </w:r>
    </w:p>
    <w:p>
      <w:pPr>
        <w:spacing w:line="480" w:lineRule="auto" w:after="0"/>
      </w:pPr>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spacing w:line="480" w:lineRule="auto" w:after="0"/>
      </w:pPr>
      <w:r>
        <w:t>Consent for publication</w:t>
      </w:r>
    </w:p>
    <w:p>
      <w:pPr>
        <w:spacing w:line="480" w:lineRule="auto" w:after="0"/>
      </w:pPr>
      <w:r>
        <w:t>Not applicable.</w:t>
      </w:r>
    </w:p>
    <w:p>
      <w:pPr>
        <w:pStyle w:val="Heading2"/>
        <w:spacing w:line="480" w:lineRule="auto" w:after="0"/>
      </w:pPr>
      <w:r>
        <w:t>Availability of data and materials</w:t>
      </w:r>
    </w:p>
    <w:p>
      <w:pPr>
        <w:spacing w:line="480" w:lineRule="auto" w:after="0"/>
      </w:pPr>
      <w:r>
        <w:t>PTB-XL is available from PhysioNet at https://physionet.org/content/ptb-xl/. PTB-XL+ is available from PhysioNet at https://physionet.org/content/ptb-xl-plus/. CPSC2018 is available from the China Physiological Signal Challenge 2018 website at http://2018.icbeb.org/Challenge.html. The external Chapman-Shaoxing-Ningbo ECG database used here is the PhysioNet large-scale 12-lead ECG database for arrhythmia study at https://physionet.org/content/ecg-arrhythmia/ with DOI https://doi.org/10.13026/wgex-er52. The analysis code and manuscript artifacts are available at https://github.com/seefreewind/ecg-ptbxl-multimodal-decision-support and archived on Zenodo at https://doi.org/10.5281/zenodo.21091784.</w:t>
      </w:r>
    </w:p>
    <w:p>
      <w:pPr>
        <w:pStyle w:val="Heading2"/>
        <w:spacing w:line="480" w:lineRule="auto" w:after="0"/>
      </w:pPr>
      <w:r>
        <w:t>Competing interests</w:t>
      </w:r>
    </w:p>
    <w:p>
      <w:pPr>
        <w:spacing w:line="480" w:lineRule="auto" w:after="0"/>
      </w:pPr>
      <w:r>
        <w:t>The authors declare that they have no competing interests.</w:t>
      </w:r>
    </w:p>
    <w:p>
      <w:pPr>
        <w:pStyle w:val="Heading2"/>
        <w:spacing w:line="480" w:lineRule="auto" w:after="0"/>
      </w:pPr>
      <w:r>
        <w:t>Funding</w:t>
      </w:r>
    </w:p>
    <w:p>
      <w:pPr>
        <w:spacing w:line="480" w:lineRule="auto" w:after="0"/>
      </w:pPr>
      <w:r>
        <w:t>The authors received no specific funding for this work.</w:t>
      </w:r>
    </w:p>
    <w:p>
      <w:pPr>
        <w:pStyle w:val="Heading2"/>
        <w:spacing w:line="480" w:lineRule="auto" w:after="0"/>
      </w:pPr>
      <w:r>
        <w:t>Authors' contributions</w:t>
      </w:r>
    </w:p>
    <w:p>
      <w:pPr>
        <w:spacing w:line="480" w:lineRule="auto" w:after="0"/>
      </w:pPr>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spacing w:line="480" w:lineRule="auto" w:after="0"/>
      </w:pPr>
      <w:r>
        <w:t>Acknowledgements</w:t>
      </w:r>
    </w:p>
    <w:p>
      <w:pPr>
        <w:spacing w:line="480" w:lineRule="auto" w:after="0"/>
      </w:pPr>
      <w:r>
        <w:t>Not applicable.</w:t>
      </w:r>
    </w:p>
    <w:p>
      <w:pPr>
        <w:pStyle w:val="Heading1"/>
        <w:spacing w:line="480" w:lineRule="auto" w:after="0"/>
      </w:pPr>
      <w:r>
        <w:t>References</w:t>
      </w:r>
    </w:p>
    <w:p>
      <w:pPr>
        <w:spacing w:line="480" w:lineRule="auto" w:after="0"/>
      </w:pPr>
      <w:r>
        <w:t>1. Wagner P, Strodthoff N, Bousseljot RD, Kreiseler D, Lunze FI, Samek W, Schaeffter T. PTB-XL, a large publicly available electrocardiography dataset. Scientific Data. 2020;7:154. doi:10.1038/s41597-020-0495-6.</w:t>
      </w:r>
    </w:p>
    <w:p>
      <w:pPr>
        <w:spacing w:line="480" w:lineRule="auto" w:after="0"/>
      </w:pPr>
      <w:r>
        <w:t>2. Goldberger AL, Amaral LA, Glass L, Hausdorff JM, Ivanov PC, Mark RG, Mietus JE, Moody GB, Peng CK, Stanley HE. PhysioBank, PhysioToolkit, and PhysioNet: components of a new research resource for complex physiologic signals. Circulation. 2000;101(23):e215–e220.</w:t>
      </w:r>
    </w:p>
    <w:p>
      <w:pPr>
        <w:spacing w:line="480" w:lineRule="auto" w:after="0"/>
      </w:pPr>
      <w:r>
        <w:t>3. Strodthoff N, Mehari T, Nagel C, Aston PJ, Sundar A, Graff C, Kanters JK, Haverkamp W, Doessel O, Loewe A, Bar M, Schaeffter T. PTB-XL+, a comprehensive electrocardiographic feature dataset. Scientific Data. 2023;10:279. doi:10.1038/s41597-023-02153-8.</w:t>
      </w:r>
    </w:p>
    <w:p>
      <w:pPr>
        <w:spacing w:line="480" w:lineRule="auto" w:after="0"/>
      </w:pPr>
      <w:r>
        <w:t>4. Guo C, Pleiss G, Sun Y, Weinberger KQ. On calibration of modern neural networks. Proceedings of the 34th International Conference on Machine Learning. 2017;70:1321–1330.</w:t>
      </w:r>
    </w:p>
    <w:p>
      <w:pPr>
        <w:spacing w:line="480" w:lineRule="auto" w:after="0"/>
      </w:pPr>
      <w:r>
        <w:t>5. Brier GW. Verification of forecasts expressed in terms of probability. Monthly Weather Review. 1950;78:1–3.</w:t>
      </w:r>
    </w:p>
    <w:p>
      <w:pPr>
        <w:spacing w:line="480" w:lineRule="auto" w:after="0"/>
      </w:pPr>
      <w:r>
        <w:t>6. Naeini MP, Cooper GF, Hauskrecht M. Obtaining well calibrated probabilities using Bayesian binning. Proceedings of the AAAI Conference on Artificial Intelligence. 2015;29.</w:t>
      </w:r>
    </w:p>
    <w:p>
      <w:pPr>
        <w:spacing w:line="480" w:lineRule="auto" w:after="0"/>
      </w:pPr>
      <w:r>
        <w:t>7. Gal Y, Ghahramani Z. Dropout as a Bayesian approximation: representing model uncertainty in deep learning. Proceedings of the 33rd International Conference on Machine Learning. 2016;48:1050–1059.</w:t>
      </w:r>
    </w:p>
    <w:p>
      <w:pPr>
        <w:spacing w:line="480" w:lineRule="auto" w:after="0"/>
      </w:pPr>
      <w:r>
        <w:t>8. Geifman Y, El-Yaniv R. Selective classification for deep neural networks. Advances in Neural Information Processing Systems. 2017;30.</w:t>
      </w:r>
    </w:p>
    <w:p>
      <w:pPr>
        <w:spacing w:line="480" w:lineRule="auto" w:after="0"/>
      </w:pPr>
      <w:r>
        <w:t>9. Lundberg SM, Lee SI. A unified approach to interpreting model predictions. Advances in Neural Information Processing Systems. 2017;30.</w:t>
      </w:r>
    </w:p>
    <w:p>
      <w:pPr>
        <w:spacing w:line="480" w:lineRule="auto" w:after="0"/>
      </w:pPr>
      <w:r>
        <w:t>10. Sundararajan M, Taly A, Yan Q. Axiomatic attribution for deep networks. Proceedings of the 34th International Conference on Machine Learning. 2017;70:3319–3328.</w:t>
      </w:r>
    </w:p>
    <w:p>
      <w:pPr>
        <w:spacing w:line="480" w:lineRule="auto" w:after="0"/>
      </w:pPr>
      <w:r>
        <w:t>11. Vickers AJ, Elkin EB. Decision curve analysis: a novel method for evaluating prediction models. Medical Decision Making. 2006;26:565–574. doi:10.1177/0272989X06295361.</w:t>
      </w:r>
    </w:p>
    <w:p>
      <w:pPr>
        <w:spacing w:line="480" w:lineRule="auto" w:after="0"/>
      </w:pPr>
      <w:r>
        <w:t>12. Pilia N, Nagel C, Lenis G, Becker S, Doessel O, Loewe A. ECGdeli: An open source ECG delineation toolbox for MATLAB. SoftwareX. 2021;13:100639. doi:10.1016/j.softx.2020.100639.</w:t>
      </w:r>
    </w:p>
    <w:p>
      <w:pPr>
        <w:spacing w:line="480" w:lineRule="auto" w:after="0"/>
      </w:pPr>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pPr>
        <w:spacing w:line="480" w:lineRule="auto" w:after="0"/>
      </w:pPr>
      <w:r>
        <w:t>14. Zheng J, Zhang J, Danioko S, Yao H, Guo H, Rakovski C. A 12-lead electrocardiogram database for arrhythmia research covering more than 10,000 patients. Scientific Data. 2020;7:48. doi:10.1038/s41597-020-0386-x.</w:t>
      </w:r>
    </w:p>
    <w:p>
      <w:pPr>
        <w:spacing w:line="480" w:lineRule="auto" w:after="0"/>
      </w:pPr>
      <w:r>
        <w:t>15. Zheng J, Guo H, Chu H. A large scale 12-lead electrocardiogram database for arrhythmia study. PhysioNet. 2022. doi:10.13026/wgex-er52.</w:t>
      </w:r>
    </w:p>
    <w:p>
      <w:pPr>
        <w:spacing w:line="480" w:lineRule="auto" w:after="0"/>
      </w:pPr>
      <w:r>
        <w:t>16. He K, Zhang X, Ren S, Sun J. Deep residual learning for image recognition. Proceedings of the IEEE Conference on Computer Vision and Pattern Recognition. 2016:770–778.</w:t>
      </w:r>
    </w:p>
    <w:p>
      <w:pPr>
        <w:spacing w:line="480" w:lineRule="auto" w:after="0"/>
      </w:pPr>
      <w:r>
        <w:t>17. Selvaraju RR, Cogswell M, Das A, Vedantam R, Parikh D, Batra D. Grad-CAM: Visual explanations from deep networks via gradient-based localization. IEEE International Conference on Computer Vision. 2017:618–626.</w:t>
      </w:r>
    </w:p>
    <w:p>
      <w:pPr>
        <w:spacing w:line="480" w:lineRule="auto" w:after="0"/>
      </w:pPr>
      <w:r>
        <w:t>18. Ghassemi M, Oakden-Rayner L, Beam AL. The false hope of current approaches to explainable artificial intelligence in health care. The Lancet Digital Health. 2021;3:e745–e750. doi:10.1016/S2589-7500(21)00208-9.</w:t>
      </w:r>
    </w:p>
    <w:p>
      <w:pPr>
        <w:spacing w:line="480" w:lineRule="auto" w:after="0"/>
      </w:pPr>
      <w:r>
        <w:t>19. Efron B, Tibshirani RJ. An Introduction to the Bootstrap. Chapman and Hall/CRC. 1993.</w:t>
      </w:r>
    </w:p>
    <w:p>
      <w:pPr>
        <w:spacing w:line="480" w:lineRule="auto" w:after="0"/>
      </w:pPr>
      <w:r>
        <w:t>20. Collins GS, Moons KGM, Dhiman P, Riley RD, Beam AL, Van Calster B, et al. TRIPOD+AI statement: updated guidance for reporting clinical prediction models that use regression or machine learning methods. BMJ. 2024;385:e078378. doi:10.1136/bmj-2023-078378.</w:t>
      </w:r>
    </w:p>
    <w:p>
      <w:pPr>
        <w:pStyle w:val="Heading1"/>
        <w:spacing w:line="480" w:lineRule="auto" w:after="0"/>
      </w:pPr>
      <w:r>
        <w:t>Figure Legends</w:t>
      </w:r>
    </w:p>
    <w:p>
      <w:pPr>
        <w:spacing w:line="480" w:lineRule="auto" w:after="0"/>
      </w:pPr>
      <w:r>
        <w:t>Figure 1. Reproducibility-aware ECG decision-support evaluation framework and evidence boundaries. Panels summarize internal PTB-XL/PTB-XL+ multimodal inputs, matched model comparison, conservative decision-support diagnostics, and the external evidence boundary. External multimodal validation was not performed, and no clinical deployment claim is made.</w:t>
      </w:r>
    </w:p>
    <w:p>
      <w:pPr>
        <w:spacing w:line="480" w:lineRule="auto" w:after="0"/>
      </w:pPr>
      <w:r>
        <w:t>Figure 2. Internal model performance, paired bootstrap support for matched concat, and gated-fusion comparison. Panel A shows frozen-test AUROC, AP, and F1 across model groups. Panel B shows paired bootstrap deltas supporting matched concat gain over unimodal comparators. Panel C shows that gated fusion did not provide a statistically clear additional benefit over matched concat.</w:t>
      </w:r>
    </w:p>
    <w:p>
      <w:pPr>
        <w:spacing w:line="480" w:lineRule="auto" w:after="0"/>
      </w:pPr>
      <w:r>
        <w:t>Figure 3. External signal-only validation and Chapman-Shaoxing-Ningbo per-class diagnostic context. Panel A shows macro AUROC, AP, and F1 for CPSC2018 and Chapman-Shaoxing-Ningbo. Panel B shows Chapman-Shaoxing-Ningbo MI/CD/HYP prevalence, AP, and F1. Panel C states the evidence boundary: signal-level external transportability only, no external multimodal validation, and no external threshold tuning.</w:t>
      </w:r>
    </w:p>
    <w:p>
      <w:pPr>
        <w:spacing w:line="480" w:lineRule="auto" w:after="0"/>
      </w:pPr>
      <w:r>
        <w:t>Figure 4. Calibration and reliability under internal testing and external distribution shift. Panel A summarizes internal macro Brier and macro ECE. Panel B shows internal reliability curves with an ideal calibration reference. Panel C reports external no-refit calibration behavior using temperature scaling fitted on internal validation data.</w:t>
      </w:r>
    </w:p>
    <w:p>
      <w:pPr>
        <w:spacing w:line="480" w:lineRule="auto" w:after="0"/>
      </w:pPr>
      <w:r>
        <w:t>Supplementary Figure S1. Structured-feature reproducibility audit funnel. Panels show reduction from the released 531-column PTB-XL+ schema to the 138-feature numerically concordant subset, reduced-schema internal results, external structured-feature coverage, and the unsupported decision for external multimodal validation under current coverage/fidelity checks.</w:t>
      </w:r>
    </w:p>
    <w:p>
      <w:pPr>
        <w:pStyle w:val="Heading1"/>
        <w:spacing w:line="480" w:lineRule="auto" w:after="0"/>
      </w:pPr>
      <w:r>
        <w:t>Supplementary Material List</w:t>
      </w:r>
    </w:p>
    <w:p>
      <w:pPr>
        <w:pStyle w:val="ListBullet"/>
        <w:spacing w:line="480" w:lineRule="auto" w:after="0"/>
      </w:pPr>
      <w:r>
        <w:t>Supplementary Table S1: External signal-only per-class diagnostics.</w:t>
      </w:r>
    </w:p>
    <w:p>
      <w:pPr>
        <w:pStyle w:val="ListBullet"/>
        <w:spacing w:line="480" w:lineRule="auto" w:after="0"/>
      </w:pPr>
      <w:r>
        <w:t>Supplementary Table S2: External signal-only calibration.</w:t>
      </w:r>
    </w:p>
    <w:p>
      <w:pPr>
        <w:pStyle w:val="ListBullet"/>
        <w:spacing w:line="480" w:lineRule="auto" w:after="0"/>
      </w:pPr>
      <w:r>
        <w:t>Supplementary Table S3: Structured-feature reproducibility audit.</w:t>
      </w:r>
    </w:p>
    <w:p>
      <w:pPr>
        <w:pStyle w:val="ListBullet"/>
        <w:spacing w:line="480" w:lineRule="auto" w:after="0"/>
      </w:pPr>
      <w:r>
        <w:t>Supplementary Figure S1: Structured-feature reproducibility audit.</w:t>
      </w:r>
    </w:p>
    <w:p>
      <w:pPr>
        <w:pStyle w:val="ListBullet"/>
        <w:spacing w:line="480" w:lineRule="auto" w:after="0"/>
      </w:pPr>
      <w:r>
        <w:t>Supplementary Table S4: Uncertainty triage diagnostics.</w:t>
      </w:r>
    </w:p>
    <w:p>
      <w:pPr>
        <w:pStyle w:val="ListBullet"/>
        <w:spacing w:line="480" w:lineRule="auto" w:after="0"/>
      </w:pPr>
      <w:r>
        <w:t>Supplementary Table S5: Exploratory decision-curve analysis.</w:t>
      </w:r>
    </w:p>
    <w:p>
      <w:pPr>
        <w:pStyle w:val="ListBullet"/>
        <w:spacing w:line="480" w:lineRule="auto" w:after="0"/>
      </w:pPr>
      <w:r>
        <w:t>Supplementary Table S6: XAI case-selection and attribution audit.</w:t>
      </w:r>
    </w:p>
    <w:p>
      <w:pPr>
        <w:pStyle w:val="ListBullet"/>
        <w:spacing w:line="480" w:lineRule="auto" w:after="0"/>
      </w:pPr>
      <w:r>
        <w:t>Supplementary Table S7: TRIPOD+AI reporting checklist.</w:t>
      </w:r>
    </w:p>
    <w:p>
      <w:pPr>
        <w:pStyle w:val="ListBullet"/>
        <w:spacing w:line="480" w:lineRule="auto" w:after="0"/>
      </w:pPr>
      <w:r>
        <w:t>Supplementary Table S8: Internal per-superclass performance diagnostics.</w:t>
      </w:r>
    </w:p>
    <w:p>
      <w:pPr>
        <w:pStyle w:val="ListBullet"/>
        <w:spacing w:line="480" w:lineRule="auto" w:after="0"/>
      </w:pPr>
      <w:r>
        <w:t>Supplementary Table S9: External label-mapping audit.</w:t>
      </w:r>
    </w:p>
    <w:p>
      <w:r>
        <w:t>Supplementary Table S10: Reduced-schema internal threshold diagnostics.</w:t>
      </w:r>
    </w:p>
    <w:p>
      <w:r>
        <w:t>Supplementary Table S11: Stage 27 tolerance-sensitivity audit.</w:t>
      </w:r>
    </w:p>
    <w:p>
      <w:r>
        <w:t>Supplementary Table S12: Stage 27 feature-count control results.</w:t>
      </w:r>
    </w:p>
    <w:p>
      <w:r>
        <w:t>Supplementary Table S13: Stage 27 external join-failure audit.</w:t>
      </w:r>
    </w:p>
    <w:p>
      <w:pPr>
        <w:pStyle w:val="Heading1"/>
        <w:spacing w:line="480" w:lineRule="auto" w:after="0"/>
      </w:pPr>
      <w:r>
        <w:t>Figures</w:t>
      </w:r>
    </w:p>
    <w:p>
      <w:pPr>
        <w:spacing w:line="480" w:lineRule="auto" w:after="0"/>
      </w:pPr>
      <w:r>
        <w:t>Separate high-resolution PNG/PDF/SVG figure files are available for upload where applicable.</w:t>
      </w:r>
    </w:p>
    <w:p>
      <w:pPr>
        <w:pStyle w:val="Heading2"/>
        <w:spacing w:line="480" w:lineRule="auto" w:after="0"/>
      </w:pPr>
      <w:r>
        <w:t>Figure 1. Reproducibility-aware ECG decision-support evaluation framework and evidence boundaries.</w:t>
      </w:r>
    </w:p>
    <w:p>
      <w:pPr>
        <w:spacing w:line="480" w:lineRule="auto" w:after="0"/>
      </w:pPr>
      <w:r>
        <w:drawing>
          <wp:inline xmlns:a="http://schemas.openxmlformats.org/drawingml/2006/main" xmlns:pic="http://schemas.openxmlformats.org/drawingml/2006/picture">
            <wp:extent cx="5715000" cy="3432429"/>
            <wp:docPr id="1" name="Picture 1"/>
            <wp:cNvGraphicFramePr>
              <a:graphicFrameLocks noChangeAspect="1"/>
            </wp:cNvGraphicFramePr>
            <a:graphic>
              <a:graphicData uri="http://schemas.openxmlformats.org/drawingml/2006/picture">
                <pic:pic>
                  <pic:nvPicPr>
                    <pic:cNvPr id="0" name="figure1_evidence_boundary_graphical_abstract.png"/>
                    <pic:cNvPicPr/>
                  </pic:nvPicPr>
                  <pic:blipFill>
                    <a:blip r:embed="rId14"/>
                    <a:stretch>
                      <a:fillRect/>
                    </a:stretch>
                  </pic:blipFill>
                  <pic:spPr>
                    <a:xfrm>
                      <a:off x="0" y="0"/>
                      <a:ext cx="5715000" cy="3432429"/>
                    </a:xfrm>
                    <a:prstGeom prst="rect"/>
                  </pic:spPr>
                </pic:pic>
              </a:graphicData>
            </a:graphic>
          </wp:inline>
        </w:drawing>
      </w:r>
    </w:p>
    <w:p>
      <w:pPr>
        <w:pStyle w:val="Heading2"/>
        <w:spacing w:line="480" w:lineRule="auto" w:after="0"/>
      </w:pPr>
      <w:r>
        <w:t>Figure 2. Internal model performance, paired bootstrap support for matched concat, and gated-fusion comparison.</w:t>
      </w:r>
    </w:p>
    <w:p>
      <w:pPr>
        <w:spacing w:line="480" w:lineRule="auto" w:after="0"/>
      </w:pPr>
      <w:r>
        <w:drawing>
          <wp:inline xmlns:a="http://schemas.openxmlformats.org/drawingml/2006/main" xmlns:pic="http://schemas.openxmlformats.org/drawingml/2006/picture">
            <wp:extent cx="5715000" cy="3367216"/>
            <wp:docPr id="2" name="Picture 2"/>
            <wp:cNvGraphicFramePr>
              <a:graphicFrameLocks noChangeAspect="1"/>
            </wp:cNvGraphicFramePr>
            <a:graphic>
              <a:graphicData uri="http://schemas.openxmlformats.org/drawingml/2006/picture">
                <pic:pic>
                  <pic:nvPicPr>
                    <pic:cNvPr id="0" name="figure2_internal_performance_bootstrap.png"/>
                    <pic:cNvPicPr/>
                  </pic:nvPicPr>
                  <pic:blipFill>
                    <a:blip r:embed="rId15"/>
                    <a:stretch>
                      <a:fillRect/>
                    </a:stretch>
                  </pic:blipFill>
                  <pic:spPr>
                    <a:xfrm>
                      <a:off x="0" y="0"/>
                      <a:ext cx="5715000" cy="3367216"/>
                    </a:xfrm>
                    <a:prstGeom prst="rect"/>
                  </pic:spPr>
                </pic:pic>
              </a:graphicData>
            </a:graphic>
          </wp:inline>
        </w:drawing>
      </w:r>
    </w:p>
    <w:p>
      <w:pPr>
        <w:pStyle w:val="Heading2"/>
        <w:spacing w:line="480" w:lineRule="auto" w:after="0"/>
      </w:pPr>
      <w:r>
        <w:t>Figure 3. External signal-only validation and Chapman-Shaoxing-Ningbo per-class diagnostic context.</w:t>
      </w:r>
    </w:p>
    <w:p>
      <w:pPr>
        <w:spacing w:line="480" w:lineRule="auto" w:after="0"/>
      </w:pPr>
      <w:r>
        <w:drawing>
          <wp:inline xmlns:a="http://schemas.openxmlformats.org/drawingml/2006/main" xmlns:pic="http://schemas.openxmlformats.org/drawingml/2006/picture">
            <wp:extent cx="5715000" cy="2856859"/>
            <wp:docPr id="3" name="Picture 3"/>
            <wp:cNvGraphicFramePr>
              <a:graphicFrameLocks noChangeAspect="1"/>
            </wp:cNvGraphicFramePr>
            <a:graphic>
              <a:graphicData uri="http://schemas.openxmlformats.org/drawingml/2006/picture">
                <pic:pic>
                  <pic:nvPicPr>
                    <pic:cNvPr id="0" name="figure3_external_signal_validation_diagnostics.png"/>
                    <pic:cNvPicPr/>
                  </pic:nvPicPr>
                  <pic:blipFill>
                    <a:blip r:embed="rId16"/>
                    <a:stretch>
                      <a:fillRect/>
                    </a:stretch>
                  </pic:blipFill>
                  <pic:spPr>
                    <a:xfrm>
                      <a:off x="0" y="0"/>
                      <a:ext cx="5715000" cy="2856859"/>
                    </a:xfrm>
                    <a:prstGeom prst="rect"/>
                  </pic:spPr>
                </pic:pic>
              </a:graphicData>
            </a:graphic>
          </wp:inline>
        </w:drawing>
      </w:r>
    </w:p>
    <w:p>
      <w:pPr>
        <w:pStyle w:val="Heading2"/>
        <w:spacing w:line="480" w:lineRule="auto" w:after="0"/>
      </w:pPr>
      <w:r>
        <w:t>Figure 4. Calibration and reliability under internal testing and external distribution shift.</w:t>
      </w:r>
    </w:p>
    <w:p>
      <w:pPr>
        <w:spacing w:line="480" w:lineRule="auto" w:after="0"/>
      </w:pPr>
      <w:r>
        <w:drawing>
          <wp:inline xmlns:a="http://schemas.openxmlformats.org/drawingml/2006/main" xmlns:pic="http://schemas.openxmlformats.org/drawingml/2006/picture">
            <wp:extent cx="5715000" cy="2397191"/>
            <wp:docPr id="4" name="Picture 4"/>
            <wp:cNvGraphicFramePr>
              <a:graphicFrameLocks noChangeAspect="1"/>
            </wp:cNvGraphicFramePr>
            <a:graphic>
              <a:graphicData uri="http://schemas.openxmlformats.org/drawingml/2006/picture">
                <pic:pic>
                  <pic:nvPicPr>
                    <pic:cNvPr id="0" name="figure4_calibration_reliability_distribution_shift.png"/>
                    <pic:cNvPicPr/>
                  </pic:nvPicPr>
                  <pic:blipFill>
                    <a:blip r:embed="rId17"/>
                    <a:stretch>
                      <a:fillRect/>
                    </a:stretch>
                  </pic:blipFill>
                  <pic:spPr>
                    <a:xfrm>
                      <a:off x="0" y="0"/>
                      <a:ext cx="5715000" cy="2397191"/>
                    </a:xfrm>
                    <a:prstGeom prst="rect"/>
                  </pic:spPr>
                </pic:pic>
              </a:graphicData>
            </a:graphic>
          </wp:inline>
        </w:drawing>
      </w:r>
    </w:p>
    <w:p>
      <w:pPr>
        <w:pStyle w:val="Heading2"/>
        <w:spacing w:line="480" w:lineRule="auto" w:after="0"/>
      </w:pPr>
      <w:r>
        <w:t>Supplementary Figure S1. Structured-feature reproducibility audit funnel.</w:t>
      </w:r>
    </w:p>
    <w:sectPr w:rsidR="00FC693F" w:rsidRPr="0006063C" w:rsidSect="00034616">
      <w:pgSz w:w="12240" w:h="15840"/>
      <w:pgMar w:top="1440" w:right="1440" w:bottom="1440" w:left="1440" w:header="720" w:footer="720" w:gutter="0"/>
      <w:cols w:space="720"/>
      <w:docGrid w:linePitch="360"/>
      <w:lnNumType w:start="1"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