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Reproducibility-Aware Decision-Support Evaluation Framework for Multimodal ECG Risk Stratification</w:t>
      </w:r>
    </w:p>
    <w:p>
      <w:r>
        <w:t>Yi Zha^1^, Da Lin^1^, Ying Chen^2^, Yue Liu^2^, Yu Zhang^1,*</w:t>
      </w:r>
    </w:p>
    <w:p>
      <w:r>
        <w:t>^1^ The Second Affiliated Hospital of Wenzhou Medical University, Wenzhou, Zhejiang, China.</w:t>
      </w:r>
    </w:p>
    <w:p>
      <w:r>
        <w:t>^2^ Wenzhou Medical University, Wenzhou, Zhejiang, China.</w:t>
      </w:r>
    </w:p>
    <w:p>
      <w:r>
        <w:t>*Correspondence: Yu Zhang, zhangyu1@wzhealth.com; ORCID: 0000-0001-8579-3692.</w:t>
      </w:r>
    </w:p>
    <w:p>
      <w:pPr>
        <w:pStyle w:val="Heading1"/>
      </w:pPr>
      <w:r>
        <w:t>Abstract</w:t>
      </w:r>
    </w:p>
    <w:p>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a conservative decision-support framework for ECG-based cardiac risk stratification under explicit evidence boundaries.</w:t>
      </w:r>
    </w:p>
    <w:p>
      <w:r>
        <w:rPr>
          <w:b/>
        </w:rPr>
        <w:t>Methods:</w:t>
      </w:r>
      <w:r>
        <w:t xml:space="preserve"> We used PTB-XL waveforms and released PTB-XL+ structured features for internal development and evaluation across five diagnostic superclasses: NORM, MI, STTC, CD, and HYP. Model groups included a strong signal-only model, a signal-embedding multilayer perceptron, a structured-feature multilayer perceptron, fair multimodal concatenation, and gated fusion. Model selection, threshold tuning, and temperature scaling used internal validation data only. We assessed discrimination, calibration, uncertainty triage, post-hoc explainability, and exploratory decision-curve analysis. External evaluation was restricted to signal-only validation on CPSC2018 and Chapman-Shaoxing using pre-specified high-confidence label mappings. We separately audited whether structured PTB-XL+ compatible features could be reconstructed for external WFDB datasets.</w:t>
      </w:r>
    </w:p>
    <w:p>
      <w:r>
        <w:rPr>
          <w:b/>
        </w:rPr>
        <w:t>Results:</w:t>
      </w:r>
      <w:r>
        <w:t xml:space="preserve"> In internal PTB-XL/PTB-XL+ testing, fair multimodal concatenation improved over the signal-embedding comparator in AUROC, average precision, and F1, with paired bootstrap confidence intervals excluding zero. Gated fusion showed only small numerical differences from fair concatenation, and paired bootstrap confidence intervals for AUROC, average precision, and F1 all contained zero. Signal-only external validation achieved macro AUROC 0.9071 on CPSC2018 and 0.8742 on Chapman-Shaoxing, with lower average precision and F1 in low-prevalence Chapman-Shaoxing labels. External calibration showed distribution-shift effects. The Stage 14L structured-feature audit found 138 allclose features, reduced structured-only internal collapse, no stable reduced-schema multimodal gain, and only two joinable external structured records per dataset.</w:t>
      </w:r>
    </w:p>
    <w:p>
      <w:r>
        <w:rPr>
          <w:b/>
        </w:rPr>
        <w:t>Conclusions:</w:t>
      </w:r>
      <w:r>
        <w:t xml:space="preserve"> The framework supports reproducibility-aware internal multimodal evaluation with signal-level external validation, but not external multimodal validation. Further work requires externally reproducible structured features and prospective clinical data before clinical-use claims can be considered.</w:t>
      </w:r>
    </w:p>
    <w:p>
      <w:pPr>
        <w:pStyle w:val="Heading1"/>
      </w:pPr>
      <w:r>
        <w:t>Keywords</w:t>
      </w:r>
    </w:p>
    <w:p>
      <w:r>
        <w:t>Electrocardiography; Clinical decision support; Multimodal fusion; Signal-level external validation; Model calibration; Uncertainty estimation; Explainable artificial intelligence; Reproducibility; Public datasets; Risk stratification.</w:t>
      </w:r>
    </w:p>
    <w:p>
      <w:pPr>
        <w:pStyle w:val="Heading1"/>
      </w:pPr>
      <w:r>
        <w:t>Background</w:t>
      </w:r>
    </w:p>
    <w:p>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risk stratification.</w:t>
      </w:r>
    </w:p>
    <w:p>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[12,3].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 also differ from PTB-XL in label scope, prevalence, and annotation structure [13–15]. These differences make it important to separate internal multimodal gains from signal-level external transportability and from structured-feature reconstruction feasibility.</w:t>
      </w:r>
    </w:p>
    <w:p>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r>
        <w:t>In this study, we evaluated a reproducibility-aware multimodal ECG decision-support framework using PTB-XL/PTB-XL+ internally and CPSC2018 and Chapman-Shaoxing externally. The objective was to test whether released PTB-XL+ structured features add internal value beyond ECG signal embeddings, whether simple fair concatenation is sufficient relative to gated fusion, how signal-only models behave on external datasets, and whether external structured features can be reconstructed with enough fidelity to support multimodal external validation. This was a conservative public-data evaluation, not a clinical deployment study.</w:t>
      </w:r>
    </w:p>
    <w:p>
      <w:pPr>
        <w:pStyle w:val="Heading1"/>
      </w:pPr>
      <w:r>
        <w:t>Methods</w:t>
      </w:r>
    </w:p>
    <w:p>
      <w:pPr>
        <w:pStyle w:val="Heading2"/>
      </w:pPr>
      <w:r>
        <w:t>Study design</w:t>
      </w:r>
    </w:p>
    <w:p>
      <w:r>
        <w:t>This was a public-data model development and evaluation study. The primary internal analysis used PTB-XL waveforms and released PTB-XL+ structured features [1,3]. External validation used CPSC2018 and Chapman-Shaoxing waveforms for signal-only evaluation [13–14]. External structured-feature generation was audited for reproducibility and coverage feasibility, but external structured features were not used for validated multimodal external testing.</w:t>
      </w:r>
    </w:p>
    <w:p>
      <w:r>
        <w:t>The evaluation was staged. Stage 0/1 verified PTB-XL local data layout, parsed diagnostic labels, and generated frozen train, validation, and test files. Internal modeling stages trained and compared signal-only, signal-embedding, structured-only, fair concat, and gated fusion models. Later stages evaluated calibration, uncertainty triage, XAI, exploratory decision-curve analysis, signal-only external validation, and structured-feature reproducibility.</w:t>
      </w:r>
    </w:p>
    <w:p>
      <w:pPr>
        <w:pStyle w:val="Heading2"/>
      </w:pPr>
      <w:r>
        <w:t>Data sources and roles</w:t>
      </w:r>
    </w:p>
    <w:p>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r>
        <w:t>CPSC2018 and Chapman-Shaoxing served as external waveform datasets for signal-only validation. CPSC2018 was evaluated for the high-confidence NORM/CD label subset. Chapman-Shaoxing was evaluated for MI/CD/HYP. Chapman-Shaoxing sinus rhythm was not treated as main-analysis NORM. Records that could not be read as WFDB waveforms were excluded. No external threshold tuning, external model selection, or external retraining was performed.</w:t>
      </w:r>
    </w:p>
    <w:p>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pPr>
      <w:r>
        <w:t>Model groups</w:t>
      </w:r>
    </w:p>
    <w:p>
      <w:r>
        <w:t>Five internal model groups were evaluated:</w:t>
      </w:r>
    </w:p>
    <w:p>
      <w:pPr>
        <w:pStyle w:val="ListBullet"/>
      </w:pPr>
      <w:r>
        <w:t>Strong signal-only model using 100 Hz 12-lead PTB-XL waveforms.</w:t>
      </w:r>
    </w:p>
    <w:p>
      <w:pPr>
        <w:pStyle w:val="ListBullet"/>
      </w:pPr>
      <w:r>
        <w:t>Signal-embedding MLP using a 256-dimensional signal representation.</w:t>
      </w:r>
    </w:p>
    <w:p>
      <w:pPr>
        <w:pStyle w:val="ListBullet"/>
      </w:pPr>
      <w:r>
        <w:t>Structured-feature MLP using 531 released PTB-XL+ structured features.</w:t>
      </w:r>
    </w:p>
    <w:p>
      <w:pPr>
        <w:pStyle w:val="ListBullet"/>
      </w:pPr>
      <w:r>
        <w:t>Fair MLP-concat model combining the 256-dimensional signal embedding with 531 structured features.</w:t>
      </w:r>
    </w:p>
    <w:p>
      <w:pPr>
        <w:pStyle w:val="ListBullet"/>
      </w:pPr>
      <w:r>
        <w:t>Gated fusion MLP using the same signal and structured input interface.</w:t>
      </w:r>
    </w:p>
    <w:p>
      <w:r>
        <w:t>The strong signal-only model used a one-dimensional residual network with 12 input channels and five output labels. Residual learning was used as the general architectural background [16]. The model provided both a direct waveform comparator and the 256-dimensional signal embedding for fair multimodal comparison. The fair fusion dataset combined signal embeddings and released structured features after median imputation and standardization defined on the training set.</w:t>
      </w:r>
    </w:p>
    <w:p>
      <w:pPr>
        <w:pStyle w:val="Heading2"/>
      </w:pPr>
      <w:r>
        <w:t>Fair comparison principle</w:t>
      </w:r>
    </w:p>
    <w:p>
      <w:r>
        <w:t>The gated fusion model was compared against fair concat because multimodal gains should not be attributed to architectural complexity when a simple fusion strategy can capture similar information. Signal-embedding, structured-only, fair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pPr>
      <w:r>
        <w:t>Calibration</w:t>
      </w:r>
    </w:p>
    <w:p>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pPr>
      <w:r>
        <w:t>Uncertainty triage</w:t>
      </w:r>
    </w:p>
    <w:p>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pPr>
      <w:r>
        <w:t>Explainability and XAI</w:t>
      </w:r>
    </w:p>
    <w:p>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pPr>
      <w:r>
        <w:t>Decision-curve analysis</w:t>
      </w:r>
    </w:p>
    <w:p>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pPr>
      <w:r>
        <w:t>Stage 14L structured-feature reproducibility audit</w:t>
      </w:r>
    </w:p>
    <w:p>
      <w:r>
        <w:t>Stage 14L was treated as a core reproducibility and feasibility audit. Instead of continuing attempts to reconstruct the full PTB-XL+ 531-column schema externally, Stage 14L used a reduced structured-feature subset that had passed internal allclose checks in Stage 14H. This subset contained 138 features. The reduced schema was tested internally with signal-embedding, structured-only, and fair concat models, and external coverage was checked for CPSC2018 and Chapman-Shaoxing.</w:t>
      </w:r>
    </w:p>
    <w:p>
      <w:r>
        <w:t>The go/no-go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remain NO-GO.</w:t>
      </w:r>
    </w:p>
    <w:p>
      <w:pPr>
        <w:pStyle w:val="Heading2"/>
      </w:pPr>
      <w:r>
        <w:t>Statistical analysis</w:t>
      </w:r>
    </w:p>
    <w:p>
      <w:r>
        <w:t>Discrimination was summarized using macro AUROC, macro average precision, and macro F1. Thresholded metrics used thresholds selected on internal validation data. Fair concat was compared with the strongest unimodal comparators using paired record-level bootstrap resampling on the frozen internal test set. Gated fusion and fair concat were also compared using paired bootstrap resampling on the frozen internal test set [19]. Bootstrap confidence intervals were reported without multiplicity adjustment and interpreted descriptively. External diagnostics were reported per dataset and per class. No external threshold optimization was performed.</w:t>
      </w:r>
    </w:p>
    <w:p>
      <w:pPr>
        <w:pStyle w:val="Heading1"/>
      </w:pPr>
      <w:r>
        <w:t>Results</w:t>
      </w:r>
    </w:p>
    <w:p>
      <w:pPr>
        <w:pStyle w:val="Heading2"/>
      </w:pPr>
      <w:r>
        <w:t>Internal full-schema multimodal evaluation</w:t>
      </w:r>
    </w:p>
    <w:p>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r>
        <w:t>Fair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pPr>
        <w:pStyle w:val="Heading2"/>
      </w:pPr>
      <w:r>
        <w:t>Statistical support for the internal multimodal gain</w:t>
      </w:r>
    </w:p>
    <w:p>
      <w:r>
        <w:t>Paired record-level bootstrap analysis supported the internal fair concat gain over the signal-embedding comparator and the strong signal-only comparator. For fair concat minus signal-embedding MLP, the AUROC delta was +0.0098 with a 95% CI from +0.0067 to +0.0131, the AP delta was +0.0229 with a 95% CI from +0.0157 to +0.0302, and the F1 delta was +0.0205 with a 95% CI from +0.0088 to +0.0324. For fair concat minus strong signal-only, the AUROC delta was +0.0094 with a 95% CI from +0.0062 to +0.0127, the AP delta was +0.0232 with a 95% CI from +0.0151 to +0.0308, and the F1 delta was +0.0209 with a 95% CI from +0.0098 to +0.0319. None of these confidence intervals contained zero.</w:t>
      </w:r>
    </w:p>
    <w:p>
      <w:r>
        <w:t>These results provide statistical support for the internal multimodal gain, while remaining limited to the PTB-XL/PTB-XL+ internal evaluation setting.</w:t>
      </w:r>
    </w:p>
    <w:p>
      <w:pPr>
        <w:pStyle w:val="Heading2"/>
      </w:pPr>
      <w:r>
        <w:t>Gated fusion versus fair concat</w:t>
      </w:r>
    </w:p>
    <w:p>
      <w:r>
        <w:t>Gated fusion did not show a statistically clear advantage over fair concat. The paired bootstrap delta for AUROC was +0.0003 with a 95% CI from -0.0015 to 0.0021. The AP delta was +0.0025 with a 95% CI from -0.0014 to 0.0070. The F1 delta was +0.0047 with a 95% CI from -0.0044 to 0.0142. All confidence intervals contained zero.</w:t>
      </w:r>
    </w:p>
    <w:p>
      <w:r>
        <w:t>These findings support a conservative interpretation: the internal multimodal gain is better attributed to modality complementarity than to an additional benefit from gating.</w:t>
      </w:r>
    </w:p>
    <w:p>
      <w:pPr>
        <w:pStyle w:val="Heading2"/>
      </w:pPr>
      <w:r>
        <w:t>Calibration and decision-support diagnostics</w:t>
      </w:r>
    </w:p>
    <w:p>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Fair concat had macro Brier score 0.0864 and macro ECE 0.0283. Gated fusion had macro Brier score 0.0844 and macro ECE 0.0193.</w:t>
      </w:r>
    </w:p>
    <w:p>
      <w:r>
        <w:t>Uncertainty triage, XAI, and exploratory decision-curve analysis were retained as decision-support diagnostics. These analyses broadened evaluation beyond discrimination, but they were not interpreted as clinical readiness evidence.</w:t>
      </w:r>
    </w:p>
    <w:p>
      <w:pPr>
        <w:pStyle w:val="Heading2"/>
      </w:pPr>
      <w:r>
        <w:t>Signal-only external validation</w:t>
      </w:r>
    </w:p>
    <w:p>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r>
        <w:t>Chapman-Shaoxing signal-only external validation included 45,150 evaluated records for the MI/CD/HYP high-confidence label scope. Macro AUROC was 0.8742, macro AP was 0.1727, and macro F1 was 0.1650. The Chapman-Shaoxing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label mapping, and transfer of thresholds selected on PTB-XL validation data.</w:t>
      </w:r>
    </w:p>
    <w:p>
      <w:r>
        <w:t>External validation was signal-only. No external multimodal validation was performed.</w:t>
      </w:r>
    </w:p>
    <w:p>
      <w:pPr>
        <w:pStyle w:val="Heading2"/>
      </w:pPr>
      <w:r>
        <w:t>External signal-only calibration</w:t>
      </w:r>
    </w:p>
    <w:p>
      <w:r>
        <w:t>External calibration was evaluated without external refitting. CPSC2018 had macro Brier 0.1268, micro Brier 0.1268, macro ECE 0.1262, and macro MCE 0.4099. Chapman-Shaoxing had macro Brier 0.0855, micro Brier 0.0855, macro ECE 0.1412, and macro MCE 0.7277.</w:t>
      </w:r>
    </w:p>
    <w:p>
      <w:r>
        <w:t>These results should be reported as transparent calibration behavior under distribution shift, not as evidence of clinical calibration readiness.</w:t>
      </w:r>
    </w:p>
    <w:p>
      <w:pPr>
        <w:pStyle w:val="Heading2"/>
      </w:pPr>
      <w:r>
        <w:t>Stage 14L structured-feature reproducibility audit</w:t>
      </w:r>
    </w:p>
    <w:p>
      <w:r>
        <w:t>Stage 14L found that only 138 structured features were available in the reproducibility-validated allclose subset. In the reduced-schema internal test, the signal-embedding MLP achieved AUROC 0.9094, AP 0.7722, and F1 0.6981. The reduced structured-only MLP collapsed, with AUROC 0.5704, AP 0.3045, and F1 0.0000. Reduced fair concat achieved AUROC 0.9097, AP 0.7731, and F1 0.6938, which did not show stable gain over the signal-embedding MLP.</w:t>
      </w:r>
    </w:p>
    <w:p>
      <w:r>
        <w:t>External structured-feature coverage also failed the quality gate. CPSC2018 had 2 joinable candidate structured records among 9,944 signal prediction records, for coverage 0.000201. Chapman-Shaoxing had 2 joinable candidate structured records among 45,150 signal prediction records, for coverage 0.000044.</w:t>
      </w:r>
    </w:p>
    <w:p>
      <w:r>
        <w:t>The Stage 14L decision was NO-GO for external multimodal validation. This should be presented as a structured-feature reproducibility and feasibility result, not as a failed external multimodal model.</w:t>
      </w:r>
    </w:p>
    <w:p>
      <w:pPr>
        <w:sectPr>
          <w:pgSz w:w="12240" w:h="15840"/>
          <w:pgMar w:top="1440" w:right="1440" w:bottom="1440" w:left="1440" w:header="720" w:footer="720" w:gutter="0"/>
          <w:cols w:space="720"/>
          <w:docGrid w:linePitch="360"/>
        </w:sectPr>
      </w:pPr>
    </w:p>
    <w:p>
      <w:pPr>
        <w:pStyle w:val="Heading1"/>
      </w:pPr>
      <w:r>
        <w:t>Tables</w:t>
      </w:r>
    </w:p>
    <w:p>
      <w:pPr>
        <w:keepNext/>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jc w:val="center"/>
            </w:pPr>
            <w:r>
              <w:rPr>
                <w:b/>
                <w:sz w:val="17"/>
              </w:rPr>
              <w:t>Model</w:t>
            </w:r>
          </w:p>
        </w:tc>
        <w:tc>
          <w:tcPr>
            <w:tcW w:type="dxa" w:w="1728"/>
            <w:vAlign w:val="center"/>
            <w:shd w:fill="F2F4F7"/>
          </w:tcPr>
          <w:p>
            <w:pPr>
              <w:jc w:val="center"/>
            </w:pPr>
            <w:r>
              <w:rPr>
                <w:b/>
                <w:sz w:val="17"/>
              </w:rPr>
              <w:t>Test AUROC</w:t>
            </w:r>
          </w:p>
        </w:tc>
        <w:tc>
          <w:tcPr>
            <w:tcW w:type="dxa" w:w="1728"/>
            <w:vAlign w:val="center"/>
            <w:shd w:fill="F2F4F7"/>
          </w:tcPr>
          <w:p>
            <w:pPr>
              <w:jc w:val="center"/>
            </w:pPr>
            <w:r>
              <w:rPr>
                <w:b/>
                <w:sz w:val="17"/>
              </w:rPr>
              <w:t>Test AP</w:t>
            </w:r>
          </w:p>
        </w:tc>
        <w:tc>
          <w:tcPr>
            <w:tcW w:type="dxa" w:w="1728"/>
            <w:vAlign w:val="center"/>
            <w:shd w:fill="F2F4F7"/>
          </w:tcPr>
          <w:p>
            <w:pPr>
              <w:jc w:val="center"/>
            </w:pPr>
            <w:r>
              <w:rPr>
                <w:b/>
                <w:sz w:val="17"/>
              </w:rPr>
              <w:t>Test F1</w:t>
            </w:r>
          </w:p>
        </w:tc>
      </w:tr>
      <w:tr>
        <w:tc>
          <w:tcPr>
            <w:tcW w:type="dxa" w:w="3744"/>
            <w:vAlign w:val="center"/>
          </w:tcPr>
          <w:p>
            <w:pPr>
              <w:jc w:val="left"/>
            </w:pPr>
            <w:r>
              <w:rPr>
                <w:sz w:val="17"/>
              </w:rPr>
              <w:t>strong signal-only</w:t>
            </w:r>
          </w:p>
        </w:tc>
        <w:tc>
          <w:tcPr>
            <w:tcW w:type="dxa" w:w="1728"/>
            <w:vAlign w:val="center"/>
          </w:tcPr>
          <w:p>
            <w:pPr>
              <w:jc w:val="center"/>
            </w:pPr>
            <w:r>
              <w:rPr>
                <w:sz w:val="17"/>
              </w:rPr>
              <w:t>0.9098</w:t>
            </w:r>
          </w:p>
        </w:tc>
        <w:tc>
          <w:tcPr>
            <w:tcW w:type="dxa" w:w="1728"/>
            <w:vAlign w:val="center"/>
          </w:tcPr>
          <w:p>
            <w:pPr>
              <w:jc w:val="center"/>
            </w:pPr>
            <w:r>
              <w:rPr>
                <w:sz w:val="17"/>
              </w:rPr>
              <w:t>0.7721</w:t>
            </w:r>
          </w:p>
        </w:tc>
        <w:tc>
          <w:tcPr>
            <w:tcW w:type="dxa" w:w="1728"/>
            <w:vAlign w:val="center"/>
          </w:tcPr>
          <w:p>
            <w:pPr>
              <w:jc w:val="center"/>
            </w:pPr>
            <w:r>
              <w:rPr>
                <w:sz w:val="17"/>
              </w:rPr>
              <w:t>0.6998</w:t>
            </w:r>
          </w:p>
        </w:tc>
      </w:tr>
      <w:tr>
        <w:tc>
          <w:tcPr>
            <w:tcW w:type="dxa" w:w="3744"/>
            <w:vAlign w:val="center"/>
          </w:tcPr>
          <w:p>
            <w:pPr>
              <w:jc w:val="left"/>
            </w:pPr>
            <w:r>
              <w:rPr>
                <w:sz w:val="17"/>
              </w:rPr>
              <w:t>signal-embedding MLP</w:t>
            </w:r>
          </w:p>
        </w:tc>
        <w:tc>
          <w:tcPr>
            <w:tcW w:type="dxa" w:w="1728"/>
            <w:vAlign w:val="center"/>
          </w:tcPr>
          <w:p>
            <w:pPr>
              <w:jc w:val="center"/>
            </w:pPr>
            <w:r>
              <w:rPr>
                <w:sz w:val="17"/>
              </w:rPr>
              <w:t>0.9094</w:t>
            </w:r>
          </w:p>
        </w:tc>
        <w:tc>
          <w:tcPr>
            <w:tcW w:type="dxa" w:w="1728"/>
            <w:vAlign w:val="center"/>
          </w:tcPr>
          <w:p>
            <w:pPr>
              <w:jc w:val="center"/>
            </w:pPr>
            <w:r>
              <w:rPr>
                <w:sz w:val="17"/>
              </w:rPr>
              <w:t>0.7724</w:t>
            </w:r>
          </w:p>
        </w:tc>
        <w:tc>
          <w:tcPr>
            <w:tcW w:type="dxa" w:w="1728"/>
            <w:vAlign w:val="center"/>
          </w:tcPr>
          <w:p>
            <w:pPr>
              <w:jc w:val="center"/>
            </w:pPr>
            <w:r>
              <w:rPr>
                <w:sz w:val="17"/>
              </w:rPr>
              <w:t>0.7002</w:t>
            </w:r>
          </w:p>
        </w:tc>
      </w:tr>
      <w:tr>
        <w:tc>
          <w:tcPr>
            <w:tcW w:type="dxa" w:w="3744"/>
            <w:vAlign w:val="center"/>
          </w:tcPr>
          <w:p>
            <w:pPr>
              <w:jc w:val="left"/>
            </w:pPr>
            <w:r>
              <w:rPr>
                <w:sz w:val="17"/>
              </w:rPr>
              <w:t>structured MLP</w:t>
            </w:r>
          </w:p>
        </w:tc>
        <w:tc>
          <w:tcPr>
            <w:tcW w:type="dxa" w:w="1728"/>
            <w:vAlign w:val="center"/>
          </w:tcPr>
          <w:p>
            <w:pPr>
              <w:jc w:val="center"/>
            </w:pPr>
            <w:r>
              <w:rPr>
                <w:sz w:val="17"/>
              </w:rPr>
              <w:t>0.9046</w:t>
            </w:r>
          </w:p>
        </w:tc>
        <w:tc>
          <w:tcPr>
            <w:tcW w:type="dxa" w:w="1728"/>
            <w:vAlign w:val="center"/>
          </w:tcPr>
          <w:p>
            <w:pPr>
              <w:jc w:val="center"/>
            </w:pPr>
            <w:r>
              <w:rPr>
                <w:sz w:val="17"/>
              </w:rPr>
              <w:t>0.7652</w:t>
            </w:r>
          </w:p>
        </w:tc>
        <w:tc>
          <w:tcPr>
            <w:tcW w:type="dxa" w:w="1728"/>
            <w:vAlign w:val="center"/>
          </w:tcPr>
          <w:p>
            <w:pPr>
              <w:jc w:val="center"/>
            </w:pPr>
            <w:r>
              <w:rPr>
                <w:sz w:val="17"/>
              </w:rPr>
              <w:t>0.6899</w:t>
            </w:r>
          </w:p>
        </w:tc>
      </w:tr>
      <w:tr>
        <w:tc>
          <w:tcPr>
            <w:tcW w:type="dxa" w:w="3744"/>
            <w:vAlign w:val="center"/>
          </w:tcPr>
          <w:p>
            <w:pPr>
              <w:jc w:val="left"/>
            </w:pPr>
            <w:r>
              <w:rPr>
                <w:sz w:val="17"/>
              </w:rPr>
              <w:t>fair MLP-concat</w:t>
            </w:r>
          </w:p>
        </w:tc>
        <w:tc>
          <w:tcPr>
            <w:tcW w:type="dxa" w:w="1728"/>
            <w:vAlign w:val="center"/>
          </w:tcPr>
          <w:p>
            <w:pPr>
              <w:jc w:val="center"/>
            </w:pPr>
            <w:r>
              <w:rPr>
                <w:sz w:val="17"/>
              </w:rPr>
              <w:t>0.9193</w:t>
            </w:r>
          </w:p>
        </w:tc>
        <w:tc>
          <w:tcPr>
            <w:tcW w:type="dxa" w:w="1728"/>
            <w:vAlign w:val="center"/>
          </w:tcPr>
          <w:p>
            <w:pPr>
              <w:jc w:val="center"/>
            </w:pPr>
            <w:r>
              <w:rPr>
                <w:sz w:val="17"/>
              </w:rPr>
              <w:t>0.7953</w:t>
            </w:r>
          </w:p>
        </w:tc>
        <w:tc>
          <w:tcPr>
            <w:tcW w:type="dxa" w:w="1728"/>
            <w:vAlign w:val="center"/>
          </w:tcPr>
          <w:p>
            <w:pPr>
              <w:jc w:val="center"/>
            </w:pPr>
            <w:r>
              <w:rPr>
                <w:sz w:val="17"/>
              </w:rPr>
              <w:t>0.7208</w:t>
            </w:r>
          </w:p>
        </w:tc>
      </w:tr>
      <w:tr>
        <w:tc>
          <w:tcPr>
            <w:tcW w:type="dxa" w:w="3744"/>
            <w:vAlign w:val="center"/>
          </w:tcPr>
          <w:p>
            <w:pPr>
              <w:jc w:val="left"/>
            </w:pPr>
            <w:r>
              <w:rPr>
                <w:sz w:val="17"/>
              </w:rPr>
              <w:t>gated fusion MLP</w:t>
            </w:r>
          </w:p>
        </w:tc>
        <w:tc>
          <w:tcPr>
            <w:tcW w:type="dxa" w:w="1728"/>
            <w:vAlign w:val="center"/>
          </w:tcPr>
          <w:p>
            <w:pPr>
              <w:jc w:val="center"/>
            </w:pPr>
            <w:r>
              <w:rPr>
                <w:sz w:val="17"/>
              </w:rPr>
              <w:t>0.9196</w:t>
            </w:r>
          </w:p>
        </w:tc>
        <w:tc>
          <w:tcPr>
            <w:tcW w:type="dxa" w:w="1728"/>
            <w:vAlign w:val="center"/>
          </w:tcPr>
          <w:p>
            <w:pPr>
              <w:jc w:val="center"/>
            </w:pPr>
            <w:r>
              <w:rPr>
                <w:sz w:val="17"/>
              </w:rPr>
              <w:t>0.7978</w:t>
            </w:r>
          </w:p>
        </w:tc>
        <w:tc>
          <w:tcPr>
            <w:tcW w:type="dxa" w:w="1728"/>
            <w:vAlign w:val="center"/>
          </w:tcPr>
          <w:p>
            <w:pPr>
              <w:jc w:val="center"/>
            </w:pPr>
            <w:r>
              <w:rPr>
                <w:sz w:val="17"/>
              </w:rPr>
              <w:t>0.7255</w:t>
            </w:r>
          </w:p>
        </w:tc>
      </w:tr>
    </w:tbl>
    <w:p>
      <w:pPr>
        <w:spacing w:after="200"/>
      </w:pPr>
      <w:r>
        <w:rPr>
          <w:i/>
          <w:sz w:val="18"/>
        </w:rPr>
        <w:t>Note. AP = average precision; AUROC = area under the receiver operating characteristic curve.</w:t>
      </w:r>
    </w:p>
    <w:p>
      <w:pPr>
        <w:keepNext/>
      </w:pPr>
      <w:r>
        <w:rPr>
          <w:b/>
        </w:rPr>
        <w:t>Table 2 Statistical support for the internal multimodal gain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jc w:val="center"/>
            </w:pPr>
            <w:r>
              <w:rPr>
                <w:b/>
                <w:sz w:val="17"/>
              </w:rPr>
              <w:t>Comparison</w:t>
            </w:r>
          </w:p>
        </w:tc>
        <w:tc>
          <w:tcPr>
            <w:tcW w:type="dxa" w:w="1080"/>
            <w:vAlign w:val="center"/>
            <w:shd w:fill="F2F4F7"/>
          </w:tcPr>
          <w:p>
            <w:pPr>
              <w:jc w:val="center"/>
            </w:pPr>
            <w:r>
              <w:rPr>
                <w:b/>
                <w:sz w:val="17"/>
              </w:rPr>
              <w:t>Metric</w:t>
            </w:r>
          </w:p>
        </w:tc>
        <w:tc>
          <w:tcPr>
            <w:tcW w:type="dxa" w:w="1368"/>
            <w:vAlign w:val="center"/>
            <w:shd w:fill="F2F4F7"/>
          </w:tcPr>
          <w:p>
            <w:pPr>
              <w:jc w:val="center"/>
            </w:pPr>
            <w:r>
              <w:rPr>
                <w:b/>
                <w:sz w:val="17"/>
              </w:rPr>
              <w:t>Fair concat</w:t>
            </w:r>
          </w:p>
        </w:tc>
        <w:tc>
          <w:tcPr>
            <w:tcW w:type="dxa" w:w="1368"/>
            <w:vAlign w:val="center"/>
            <w:shd w:fill="F2F4F7"/>
          </w:tcPr>
          <w:p>
            <w:pPr>
              <w:jc w:val="center"/>
            </w:pPr>
            <w:r>
              <w:rPr>
                <w:b/>
                <w:sz w:val="17"/>
              </w:rPr>
              <w:t>Comparator</w:t>
            </w:r>
          </w:p>
        </w:tc>
        <w:tc>
          <w:tcPr>
            <w:tcW w:type="dxa" w:w="1152"/>
            <w:vAlign w:val="center"/>
            <w:shd w:fill="F2F4F7"/>
          </w:tcPr>
          <w:p>
            <w:pPr>
              <w:jc w:val="center"/>
            </w:pPr>
            <w:r>
              <w:rPr>
                <w:b/>
                <w:sz w:val="17"/>
              </w:rPr>
              <w:t>Delta</w:t>
            </w:r>
          </w:p>
        </w:tc>
        <w:tc>
          <w:tcPr>
            <w:tcW w:type="dxa" w:w="2088"/>
            <w:vAlign w:val="center"/>
            <w:shd w:fill="F2F4F7"/>
          </w:tcPr>
          <w:p>
            <w:pPr>
              <w:jc w:val="center"/>
            </w:pPr>
            <w:r>
              <w:rPr>
                <w:b/>
                <w:sz w:val="17"/>
              </w:rPr>
              <w:t>95% CI</w:t>
            </w:r>
          </w:p>
        </w:tc>
        <w:tc>
          <w:tcPr>
            <w:tcW w:type="dxa" w:w="1512"/>
            <w:vAlign w:val="center"/>
            <w:shd w:fill="F2F4F7"/>
          </w:tcPr>
          <w:p>
            <w:pPr>
              <w:jc w:val="center"/>
            </w:pPr>
            <w:r>
              <w:rPr>
                <w:b/>
                <w:sz w:val="17"/>
              </w:rPr>
              <w:t>CI contains zero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AUROC</w:t>
            </w:r>
          </w:p>
        </w:tc>
        <w:tc>
          <w:tcPr>
            <w:tcW w:type="dxa" w:w="1368"/>
            <w:vAlign w:val="center"/>
          </w:tcPr>
          <w:p>
            <w:pPr>
              <w:jc w:val="center"/>
            </w:pPr>
            <w:r>
              <w:rPr>
                <w:sz w:val="17"/>
              </w:rPr>
              <w:t>0.9193</w:t>
            </w:r>
          </w:p>
        </w:tc>
        <w:tc>
          <w:tcPr>
            <w:tcW w:type="dxa" w:w="1368"/>
            <w:vAlign w:val="center"/>
          </w:tcPr>
          <w:p>
            <w:pPr>
              <w:jc w:val="center"/>
            </w:pPr>
            <w:r>
              <w:rPr>
                <w:sz w:val="17"/>
              </w:rPr>
              <w:t>0.9094</w:t>
            </w:r>
          </w:p>
        </w:tc>
        <w:tc>
          <w:tcPr>
            <w:tcW w:type="dxa" w:w="1152"/>
            <w:vAlign w:val="center"/>
          </w:tcPr>
          <w:p>
            <w:pPr>
              <w:jc w:val="center"/>
            </w:pPr>
            <w:r>
              <w:rPr>
                <w:sz w:val="17"/>
              </w:rPr>
              <w:t>+0.0098</w:t>
            </w:r>
          </w:p>
        </w:tc>
        <w:tc>
          <w:tcPr>
            <w:tcW w:type="dxa" w:w="2088"/>
            <w:vAlign w:val="center"/>
          </w:tcPr>
          <w:p>
            <w:pPr>
              <w:jc w:val="center"/>
            </w:pPr>
            <w:r>
              <w:rPr>
                <w:sz w:val="17"/>
              </w:rPr>
              <w:t>+0.0067 to +0.0131</w:t>
            </w:r>
          </w:p>
        </w:tc>
        <w:tc>
          <w:tcPr>
            <w:tcW w:type="dxa" w:w="1512"/>
            <w:vAlign w:val="center"/>
          </w:tcPr>
          <w:p>
            <w:pPr>
              <w:jc w:val="center"/>
            </w:pPr>
            <w:r>
              <w:rPr>
                <w:sz w:val="17"/>
              </w:rPr>
              <w:t>no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AP</w:t>
            </w:r>
          </w:p>
        </w:tc>
        <w:tc>
          <w:tcPr>
            <w:tcW w:type="dxa" w:w="1368"/>
            <w:vAlign w:val="center"/>
          </w:tcPr>
          <w:p>
            <w:pPr>
              <w:jc w:val="center"/>
            </w:pPr>
            <w:r>
              <w:rPr>
                <w:sz w:val="17"/>
              </w:rPr>
              <w:t>0.7953</w:t>
            </w:r>
          </w:p>
        </w:tc>
        <w:tc>
          <w:tcPr>
            <w:tcW w:type="dxa" w:w="1368"/>
            <w:vAlign w:val="center"/>
          </w:tcPr>
          <w:p>
            <w:pPr>
              <w:jc w:val="center"/>
            </w:pPr>
            <w:r>
              <w:rPr>
                <w:sz w:val="17"/>
              </w:rPr>
              <w:t>0.7724</w:t>
            </w:r>
          </w:p>
        </w:tc>
        <w:tc>
          <w:tcPr>
            <w:tcW w:type="dxa" w:w="1152"/>
            <w:vAlign w:val="center"/>
          </w:tcPr>
          <w:p>
            <w:pPr>
              <w:jc w:val="center"/>
            </w:pPr>
            <w:r>
              <w:rPr>
                <w:sz w:val="17"/>
              </w:rPr>
              <w:t>+0.0229</w:t>
            </w:r>
          </w:p>
        </w:tc>
        <w:tc>
          <w:tcPr>
            <w:tcW w:type="dxa" w:w="2088"/>
            <w:vAlign w:val="center"/>
          </w:tcPr>
          <w:p>
            <w:pPr>
              <w:jc w:val="center"/>
            </w:pPr>
            <w:r>
              <w:rPr>
                <w:sz w:val="17"/>
              </w:rPr>
              <w:t>+0.0157 to +0.0302</w:t>
            </w:r>
          </w:p>
        </w:tc>
        <w:tc>
          <w:tcPr>
            <w:tcW w:type="dxa" w:w="1512"/>
            <w:vAlign w:val="center"/>
          </w:tcPr>
          <w:p>
            <w:pPr>
              <w:jc w:val="center"/>
            </w:pPr>
            <w:r>
              <w:rPr>
                <w:sz w:val="17"/>
              </w:rPr>
              <w:t>no</w:t>
            </w:r>
          </w:p>
        </w:tc>
      </w:tr>
      <w:tr>
        <w:tc>
          <w:tcPr>
            <w:tcW w:type="dxa" w:w="3384"/>
            <w:vAlign w:val="center"/>
          </w:tcPr>
          <w:p>
            <w:pPr>
              <w:jc w:val="left"/>
            </w:pPr>
            <w:r>
              <w:rPr>
                <w:sz w:val="17"/>
              </w:rPr>
              <w:t>fair concat minus signal-embedding MLP</w:t>
            </w:r>
          </w:p>
        </w:tc>
        <w:tc>
          <w:tcPr>
            <w:tcW w:type="dxa" w:w="1080"/>
            <w:vAlign w:val="center"/>
          </w:tcPr>
          <w:p>
            <w:pPr>
              <w:jc w:val="center"/>
            </w:pPr>
            <w:r>
              <w:rPr>
                <w:sz w:val="17"/>
              </w:rPr>
              <w:t>F1</w:t>
            </w:r>
          </w:p>
        </w:tc>
        <w:tc>
          <w:tcPr>
            <w:tcW w:type="dxa" w:w="1368"/>
            <w:vAlign w:val="center"/>
          </w:tcPr>
          <w:p>
            <w:pPr>
              <w:jc w:val="center"/>
            </w:pPr>
            <w:r>
              <w:rPr>
                <w:sz w:val="17"/>
              </w:rPr>
              <w:t>0.7208</w:t>
            </w:r>
          </w:p>
        </w:tc>
        <w:tc>
          <w:tcPr>
            <w:tcW w:type="dxa" w:w="1368"/>
            <w:vAlign w:val="center"/>
          </w:tcPr>
          <w:p>
            <w:pPr>
              <w:jc w:val="center"/>
            </w:pPr>
            <w:r>
              <w:rPr>
                <w:sz w:val="17"/>
              </w:rPr>
              <w:t>0.7002</w:t>
            </w:r>
          </w:p>
        </w:tc>
        <w:tc>
          <w:tcPr>
            <w:tcW w:type="dxa" w:w="1152"/>
            <w:vAlign w:val="center"/>
          </w:tcPr>
          <w:p>
            <w:pPr>
              <w:jc w:val="center"/>
            </w:pPr>
            <w:r>
              <w:rPr>
                <w:sz w:val="17"/>
              </w:rPr>
              <w:t>+0.0205</w:t>
            </w:r>
          </w:p>
        </w:tc>
        <w:tc>
          <w:tcPr>
            <w:tcW w:type="dxa" w:w="2088"/>
            <w:vAlign w:val="center"/>
          </w:tcPr>
          <w:p>
            <w:pPr>
              <w:jc w:val="center"/>
            </w:pPr>
            <w:r>
              <w:rPr>
                <w:sz w:val="17"/>
              </w:rPr>
              <w:t>+0.0088 to +0.0324</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AUROC</w:t>
            </w:r>
          </w:p>
        </w:tc>
        <w:tc>
          <w:tcPr>
            <w:tcW w:type="dxa" w:w="1368"/>
            <w:vAlign w:val="center"/>
          </w:tcPr>
          <w:p>
            <w:pPr>
              <w:jc w:val="center"/>
            </w:pPr>
            <w:r>
              <w:rPr>
                <w:sz w:val="17"/>
              </w:rPr>
              <w:t>0.9193</w:t>
            </w:r>
          </w:p>
        </w:tc>
        <w:tc>
          <w:tcPr>
            <w:tcW w:type="dxa" w:w="1368"/>
            <w:vAlign w:val="center"/>
          </w:tcPr>
          <w:p>
            <w:pPr>
              <w:jc w:val="center"/>
            </w:pPr>
            <w:r>
              <w:rPr>
                <w:sz w:val="17"/>
              </w:rPr>
              <w:t>0.9098</w:t>
            </w:r>
          </w:p>
        </w:tc>
        <w:tc>
          <w:tcPr>
            <w:tcW w:type="dxa" w:w="1152"/>
            <w:vAlign w:val="center"/>
          </w:tcPr>
          <w:p>
            <w:pPr>
              <w:jc w:val="center"/>
            </w:pPr>
            <w:r>
              <w:rPr>
                <w:sz w:val="17"/>
              </w:rPr>
              <w:t>+0.0094</w:t>
            </w:r>
          </w:p>
        </w:tc>
        <w:tc>
          <w:tcPr>
            <w:tcW w:type="dxa" w:w="2088"/>
            <w:vAlign w:val="center"/>
          </w:tcPr>
          <w:p>
            <w:pPr>
              <w:jc w:val="center"/>
            </w:pPr>
            <w:r>
              <w:rPr>
                <w:sz w:val="17"/>
              </w:rPr>
              <w:t>+0.0062 to +0.0127</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AP</w:t>
            </w:r>
          </w:p>
        </w:tc>
        <w:tc>
          <w:tcPr>
            <w:tcW w:type="dxa" w:w="1368"/>
            <w:vAlign w:val="center"/>
          </w:tcPr>
          <w:p>
            <w:pPr>
              <w:jc w:val="center"/>
            </w:pPr>
            <w:r>
              <w:rPr>
                <w:sz w:val="17"/>
              </w:rPr>
              <w:t>0.7953</w:t>
            </w:r>
          </w:p>
        </w:tc>
        <w:tc>
          <w:tcPr>
            <w:tcW w:type="dxa" w:w="1368"/>
            <w:vAlign w:val="center"/>
          </w:tcPr>
          <w:p>
            <w:pPr>
              <w:jc w:val="center"/>
            </w:pPr>
            <w:r>
              <w:rPr>
                <w:sz w:val="17"/>
              </w:rPr>
              <w:t>0.7721</w:t>
            </w:r>
          </w:p>
        </w:tc>
        <w:tc>
          <w:tcPr>
            <w:tcW w:type="dxa" w:w="1152"/>
            <w:vAlign w:val="center"/>
          </w:tcPr>
          <w:p>
            <w:pPr>
              <w:jc w:val="center"/>
            </w:pPr>
            <w:r>
              <w:rPr>
                <w:sz w:val="17"/>
              </w:rPr>
              <w:t>+0.0232</w:t>
            </w:r>
          </w:p>
        </w:tc>
        <w:tc>
          <w:tcPr>
            <w:tcW w:type="dxa" w:w="2088"/>
            <w:vAlign w:val="center"/>
          </w:tcPr>
          <w:p>
            <w:pPr>
              <w:jc w:val="center"/>
            </w:pPr>
            <w:r>
              <w:rPr>
                <w:sz w:val="17"/>
              </w:rPr>
              <w:t>+0.0151 to +0.0308</w:t>
            </w:r>
          </w:p>
        </w:tc>
        <w:tc>
          <w:tcPr>
            <w:tcW w:type="dxa" w:w="1512"/>
            <w:vAlign w:val="center"/>
          </w:tcPr>
          <w:p>
            <w:pPr>
              <w:jc w:val="center"/>
            </w:pPr>
            <w:r>
              <w:rPr>
                <w:sz w:val="17"/>
              </w:rPr>
              <w:t>no</w:t>
            </w:r>
          </w:p>
        </w:tc>
      </w:tr>
      <w:tr>
        <w:tc>
          <w:tcPr>
            <w:tcW w:type="dxa" w:w="3384"/>
            <w:vAlign w:val="center"/>
          </w:tcPr>
          <w:p>
            <w:pPr>
              <w:jc w:val="left"/>
            </w:pPr>
            <w:r>
              <w:rPr>
                <w:sz w:val="17"/>
              </w:rPr>
              <w:t>fair concat minus strong signal-only</w:t>
            </w:r>
          </w:p>
        </w:tc>
        <w:tc>
          <w:tcPr>
            <w:tcW w:type="dxa" w:w="1080"/>
            <w:vAlign w:val="center"/>
          </w:tcPr>
          <w:p>
            <w:pPr>
              <w:jc w:val="center"/>
            </w:pPr>
            <w:r>
              <w:rPr>
                <w:sz w:val="17"/>
              </w:rPr>
              <w:t>F1</w:t>
            </w:r>
          </w:p>
        </w:tc>
        <w:tc>
          <w:tcPr>
            <w:tcW w:type="dxa" w:w="1368"/>
            <w:vAlign w:val="center"/>
          </w:tcPr>
          <w:p>
            <w:pPr>
              <w:jc w:val="center"/>
            </w:pPr>
            <w:r>
              <w:rPr>
                <w:sz w:val="17"/>
              </w:rPr>
              <w:t>0.7208</w:t>
            </w:r>
          </w:p>
        </w:tc>
        <w:tc>
          <w:tcPr>
            <w:tcW w:type="dxa" w:w="1368"/>
            <w:vAlign w:val="center"/>
          </w:tcPr>
          <w:p>
            <w:pPr>
              <w:jc w:val="center"/>
            </w:pPr>
            <w:r>
              <w:rPr>
                <w:sz w:val="17"/>
              </w:rPr>
              <w:t>0.6998</w:t>
            </w:r>
          </w:p>
        </w:tc>
        <w:tc>
          <w:tcPr>
            <w:tcW w:type="dxa" w:w="1152"/>
            <w:vAlign w:val="center"/>
          </w:tcPr>
          <w:p>
            <w:pPr>
              <w:jc w:val="center"/>
            </w:pPr>
            <w:r>
              <w:rPr>
                <w:sz w:val="17"/>
              </w:rPr>
              <w:t>+0.0209</w:t>
            </w:r>
          </w:p>
        </w:tc>
        <w:tc>
          <w:tcPr>
            <w:tcW w:type="dxa" w:w="2088"/>
            <w:vAlign w:val="center"/>
          </w:tcPr>
          <w:p>
            <w:pPr>
              <w:jc w:val="center"/>
            </w:pPr>
            <w:r>
              <w:rPr>
                <w:sz w:val="17"/>
              </w:rPr>
              <w:t>+0.0098 to +0.0319</w:t>
            </w:r>
          </w:p>
        </w:tc>
        <w:tc>
          <w:tcPr>
            <w:tcW w:type="dxa" w:w="1512"/>
            <w:vAlign w:val="center"/>
          </w:tcPr>
          <w:p>
            <w:pPr>
              <w:jc w:val="center"/>
            </w:pPr>
            <w:r>
              <w:rPr>
                <w:sz w:val="17"/>
              </w:rPr>
              <w:t>no</w:t>
            </w:r>
          </w:p>
        </w:tc>
      </w:tr>
    </w:tbl>
    <w:p>
      <w:pPr>
        <w:spacing w:after="200"/>
      </w:pPr>
      <w:r>
        <w:rPr>
          <w:i/>
          <w:sz w:val="18"/>
        </w:rPr>
        <w:t>Note. AP = average precision; AUROC = area under the receiver operating characteristic curve; CI = confidence interval. Thresholds were selected on internal validation data only.</w:t>
      </w:r>
    </w:p>
    <w:p>
      <w:pPr>
        <w:keepNext/>
      </w:pPr>
      <w:r>
        <w:rPr>
          <w:b/>
        </w:rPr>
        <w:t>Table 3 Gated fusion versus fair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jc w:val="center"/>
            </w:pPr>
            <w:r>
              <w:rPr>
                <w:b/>
                <w:sz w:val="17"/>
              </w:rPr>
              <w:t>Metric</w:t>
            </w:r>
          </w:p>
        </w:tc>
        <w:tc>
          <w:tcPr>
            <w:tcW w:type="dxa" w:w="2448"/>
            <w:vAlign w:val="center"/>
            <w:shd w:fill="F2F4F7"/>
          </w:tcPr>
          <w:p>
            <w:pPr>
              <w:jc w:val="center"/>
            </w:pPr>
            <w:r>
              <w:rPr>
                <w:b/>
                <w:sz w:val="17"/>
              </w:rPr>
              <w:t>Delta gated minus fair</w:t>
            </w:r>
          </w:p>
        </w:tc>
        <w:tc>
          <w:tcPr>
            <w:tcW w:type="dxa" w:w="2592"/>
            <w:vAlign w:val="center"/>
            <w:shd w:fill="F2F4F7"/>
          </w:tcPr>
          <w:p>
            <w:pPr>
              <w:jc w:val="center"/>
            </w:pPr>
            <w:r>
              <w:rPr>
                <w:b/>
                <w:sz w:val="17"/>
              </w:rPr>
              <w:t>95% CI</w:t>
            </w:r>
          </w:p>
        </w:tc>
        <w:tc>
          <w:tcPr>
            <w:tcW w:type="dxa" w:w="2880"/>
            <w:vAlign w:val="center"/>
            <w:shd w:fill="F2F4F7"/>
          </w:tcPr>
          <w:p>
            <w:pPr>
              <w:jc w:val="center"/>
            </w:pPr>
            <w:r>
              <w:rPr>
                <w:b/>
                <w:sz w:val="17"/>
              </w:rPr>
              <w:t>Interpretation</w:t>
            </w:r>
          </w:p>
        </w:tc>
      </w:tr>
      <w:tr>
        <w:tc>
          <w:tcPr>
            <w:tcW w:type="dxa" w:w="1440"/>
            <w:vAlign w:val="center"/>
          </w:tcPr>
          <w:p>
            <w:pPr>
              <w:jc w:val="left"/>
            </w:pPr>
            <w:r>
              <w:rPr>
                <w:sz w:val="17"/>
              </w:rPr>
              <w:t>AUROC</w:t>
            </w:r>
          </w:p>
        </w:tc>
        <w:tc>
          <w:tcPr>
            <w:tcW w:type="dxa" w:w="2448"/>
            <w:vAlign w:val="center"/>
          </w:tcPr>
          <w:p>
            <w:pPr>
              <w:jc w:val="center"/>
            </w:pPr>
            <w:r>
              <w:rPr>
                <w:sz w:val="17"/>
              </w:rPr>
              <w:t>+0.0003</w:t>
            </w:r>
          </w:p>
        </w:tc>
        <w:tc>
          <w:tcPr>
            <w:tcW w:type="dxa" w:w="2592"/>
            <w:vAlign w:val="center"/>
          </w:tcPr>
          <w:p>
            <w:pPr>
              <w:jc w:val="center"/>
            </w:pPr>
            <w:r>
              <w:rPr>
                <w:sz w:val="17"/>
              </w:rPr>
              <w:t>-0.0015 to 0.0021</w:t>
            </w:r>
          </w:p>
        </w:tc>
        <w:tc>
          <w:tcPr>
            <w:tcW w:type="dxa" w:w="2880"/>
            <w:vAlign w:val="center"/>
          </w:tcPr>
          <w:p>
            <w:pPr>
              <w:jc w:val="center"/>
            </w:pPr>
            <w:r>
              <w:rPr>
                <w:sz w:val="17"/>
              </w:rPr>
              <w:t>CI contains zero</w:t>
            </w:r>
          </w:p>
        </w:tc>
      </w:tr>
      <w:tr>
        <w:tc>
          <w:tcPr>
            <w:tcW w:type="dxa" w:w="1440"/>
            <w:vAlign w:val="center"/>
          </w:tcPr>
          <w:p>
            <w:pPr>
              <w:jc w:val="left"/>
            </w:pPr>
            <w:r>
              <w:rPr>
                <w:sz w:val="17"/>
              </w:rPr>
              <w:t>AP</w:t>
            </w:r>
          </w:p>
        </w:tc>
        <w:tc>
          <w:tcPr>
            <w:tcW w:type="dxa" w:w="2448"/>
            <w:vAlign w:val="center"/>
          </w:tcPr>
          <w:p>
            <w:pPr>
              <w:jc w:val="center"/>
            </w:pPr>
            <w:r>
              <w:rPr>
                <w:sz w:val="17"/>
              </w:rPr>
              <w:t>+0.0025</w:t>
            </w:r>
          </w:p>
        </w:tc>
        <w:tc>
          <w:tcPr>
            <w:tcW w:type="dxa" w:w="2592"/>
            <w:vAlign w:val="center"/>
          </w:tcPr>
          <w:p>
            <w:pPr>
              <w:jc w:val="center"/>
            </w:pPr>
            <w:r>
              <w:rPr>
                <w:sz w:val="17"/>
              </w:rPr>
              <w:t>-0.0014 to 0.0070</w:t>
            </w:r>
          </w:p>
        </w:tc>
        <w:tc>
          <w:tcPr>
            <w:tcW w:type="dxa" w:w="2880"/>
            <w:vAlign w:val="center"/>
          </w:tcPr>
          <w:p>
            <w:pPr>
              <w:jc w:val="center"/>
            </w:pPr>
            <w:r>
              <w:rPr>
                <w:sz w:val="17"/>
              </w:rPr>
              <w:t>CI contains zero</w:t>
            </w:r>
          </w:p>
        </w:tc>
      </w:tr>
      <w:tr>
        <w:tc>
          <w:tcPr>
            <w:tcW w:type="dxa" w:w="1440"/>
            <w:vAlign w:val="center"/>
          </w:tcPr>
          <w:p>
            <w:pPr>
              <w:jc w:val="left"/>
            </w:pPr>
            <w:r>
              <w:rPr>
                <w:sz w:val="17"/>
              </w:rPr>
              <w:t>F1</w:t>
            </w:r>
          </w:p>
        </w:tc>
        <w:tc>
          <w:tcPr>
            <w:tcW w:type="dxa" w:w="2448"/>
            <w:vAlign w:val="center"/>
          </w:tcPr>
          <w:p>
            <w:pPr>
              <w:jc w:val="center"/>
            </w:pPr>
            <w:r>
              <w:rPr>
                <w:sz w:val="17"/>
              </w:rPr>
              <w:t>+0.0047</w:t>
            </w:r>
          </w:p>
        </w:tc>
        <w:tc>
          <w:tcPr>
            <w:tcW w:type="dxa" w:w="2592"/>
            <w:vAlign w:val="center"/>
          </w:tcPr>
          <w:p>
            <w:pPr>
              <w:jc w:val="center"/>
            </w:pPr>
            <w:r>
              <w:rPr>
                <w:sz w:val="17"/>
              </w:rPr>
              <w:t>-0.0044 to 0.0142</w:t>
            </w:r>
          </w:p>
        </w:tc>
        <w:tc>
          <w:tcPr>
            <w:tcW w:type="dxa" w:w="2880"/>
            <w:vAlign w:val="center"/>
          </w:tcPr>
          <w:p>
            <w:pPr>
              <w:jc w:val="center"/>
            </w:pPr>
            <w:r>
              <w:rPr>
                <w:sz w:val="17"/>
              </w:rPr>
              <w:t>CI contains zero</w:t>
            </w:r>
          </w:p>
        </w:tc>
      </w:tr>
    </w:tbl>
    <w:p>
      <w:pPr>
        <w:spacing w:after="200"/>
      </w:pPr>
      <w:r>
        <w:rPr>
          <w:i/>
          <w:sz w:val="18"/>
        </w:rPr>
        <w:t>Note. AP = average precision; AUROC = area under the receiver operating characteristic curve; CI = confidence interval.</w:t>
      </w:r>
    </w:p>
    <w:p>
      <w:pPr>
        <w:keepNext/>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jc w:val="center"/>
            </w:pPr>
            <w:r>
              <w:rPr>
                <w:b/>
                <w:sz w:val="17"/>
              </w:rPr>
              <w:t>Dataset</w:t>
            </w:r>
          </w:p>
        </w:tc>
        <w:tc>
          <w:tcPr>
            <w:tcW w:type="dxa" w:w="2015"/>
            <w:vAlign w:val="center"/>
            <w:shd w:fill="F2F4F7"/>
          </w:tcPr>
          <w:p>
            <w:pPr>
              <w:jc w:val="center"/>
            </w:pPr>
            <w:r>
              <w:rPr>
                <w:b/>
                <w:sz w:val="17"/>
              </w:rPr>
              <w:t>Label scope</w:t>
            </w:r>
          </w:p>
        </w:tc>
        <w:tc>
          <w:tcPr>
            <w:tcW w:type="dxa" w:w="1296"/>
            <w:vAlign w:val="center"/>
            <w:shd w:fill="F2F4F7"/>
          </w:tcPr>
          <w:p>
            <w:pPr>
              <w:jc w:val="center"/>
            </w:pPr>
            <w:r>
              <w:rPr>
                <w:b/>
                <w:sz w:val="17"/>
              </w:rPr>
              <w:t>N</w:t>
            </w:r>
          </w:p>
        </w:tc>
        <w:tc>
          <w:tcPr>
            <w:tcW w:type="dxa" w:w="1655"/>
            <w:vAlign w:val="center"/>
            <w:shd w:fill="F2F4F7"/>
          </w:tcPr>
          <w:p>
            <w:pPr>
              <w:jc w:val="center"/>
            </w:pPr>
            <w:r>
              <w:rPr>
                <w:b/>
                <w:sz w:val="17"/>
              </w:rPr>
              <w:t>Macro AUROC</w:t>
            </w:r>
          </w:p>
        </w:tc>
        <w:tc>
          <w:tcPr>
            <w:tcW w:type="dxa" w:w="1440"/>
            <w:vAlign w:val="center"/>
            <w:shd w:fill="F2F4F7"/>
          </w:tcPr>
          <w:p>
            <w:pPr>
              <w:jc w:val="center"/>
            </w:pPr>
            <w:r>
              <w:rPr>
                <w:b/>
                <w:sz w:val="17"/>
              </w:rPr>
              <w:t>Macro AP</w:t>
            </w:r>
          </w:p>
        </w:tc>
        <w:tc>
          <w:tcPr>
            <w:tcW w:type="dxa" w:w="1440"/>
            <w:vAlign w:val="center"/>
            <w:shd w:fill="F2F4F7"/>
          </w:tcPr>
          <w:p>
            <w:pPr>
              <w:jc w:val="center"/>
            </w:pPr>
            <w:r>
              <w:rPr>
                <w:b/>
                <w:sz w:val="17"/>
              </w:rPr>
              <w:t>Macro F1</w:t>
            </w:r>
          </w:p>
        </w:tc>
      </w:tr>
      <w:tr>
        <w:tc>
          <w:tcPr>
            <w:tcW w:type="dxa" w:w="2448"/>
            <w:vAlign w:val="center"/>
          </w:tcPr>
          <w:p>
            <w:pPr>
              <w:jc w:val="left"/>
            </w:pPr>
            <w:r>
              <w:rPr>
                <w:sz w:val="17"/>
              </w:rPr>
              <w:t>CPSC2018</w:t>
            </w:r>
          </w:p>
        </w:tc>
        <w:tc>
          <w:tcPr>
            <w:tcW w:type="dxa" w:w="2015"/>
            <w:vAlign w:val="center"/>
          </w:tcPr>
          <w:p>
            <w:pPr>
              <w:jc w:val="center"/>
            </w:pPr>
            <w:r>
              <w:rPr>
                <w:sz w:val="17"/>
              </w:rPr>
              <w:t>NORM/CD</w:t>
            </w:r>
          </w:p>
        </w:tc>
        <w:tc>
          <w:tcPr>
            <w:tcW w:type="dxa" w:w="1296"/>
            <w:vAlign w:val="center"/>
          </w:tcPr>
          <w:p>
            <w:pPr>
              <w:jc w:val="center"/>
            </w:pPr>
            <w:r>
              <w:rPr>
                <w:sz w:val="17"/>
              </w:rPr>
              <w:t>9,944</w:t>
            </w:r>
          </w:p>
        </w:tc>
        <w:tc>
          <w:tcPr>
            <w:tcW w:type="dxa" w:w="1655"/>
            <w:vAlign w:val="center"/>
          </w:tcPr>
          <w:p>
            <w:pPr>
              <w:jc w:val="center"/>
            </w:pPr>
            <w:r>
              <w:rPr>
                <w:sz w:val="17"/>
              </w:rPr>
              <w:t>0.9071</w:t>
            </w:r>
          </w:p>
        </w:tc>
        <w:tc>
          <w:tcPr>
            <w:tcW w:type="dxa" w:w="1440"/>
            <w:vAlign w:val="center"/>
          </w:tcPr>
          <w:p>
            <w:pPr>
              <w:jc w:val="center"/>
            </w:pPr>
            <w:r>
              <w:rPr>
                <w:sz w:val="17"/>
              </w:rPr>
              <w:t>0.6509</w:t>
            </w:r>
          </w:p>
        </w:tc>
        <w:tc>
          <w:tcPr>
            <w:tcW w:type="dxa" w:w="1440"/>
            <w:vAlign w:val="center"/>
          </w:tcPr>
          <w:p>
            <w:pPr>
              <w:jc w:val="center"/>
            </w:pPr>
            <w:r>
              <w:rPr>
                <w:sz w:val="17"/>
              </w:rPr>
              <w:t>0.5904</w:t>
            </w:r>
          </w:p>
        </w:tc>
      </w:tr>
      <w:tr>
        <w:tc>
          <w:tcPr>
            <w:tcW w:type="dxa" w:w="2448"/>
            <w:vAlign w:val="center"/>
          </w:tcPr>
          <w:p>
            <w:pPr>
              <w:jc w:val="left"/>
            </w:pPr>
            <w:r>
              <w:rPr>
                <w:sz w:val="17"/>
              </w:rPr>
              <w:t>Chapman-Shaoxing</w:t>
            </w:r>
          </w:p>
        </w:tc>
        <w:tc>
          <w:tcPr>
            <w:tcW w:type="dxa" w:w="2015"/>
            <w:vAlign w:val="center"/>
          </w:tcPr>
          <w:p>
            <w:pPr>
              <w:jc w:val="center"/>
            </w:pPr>
            <w:r>
              <w:rPr>
                <w:sz w:val="17"/>
              </w:rPr>
              <w:t>MI/CD/HYP</w:t>
            </w:r>
          </w:p>
        </w:tc>
        <w:tc>
          <w:tcPr>
            <w:tcW w:type="dxa" w:w="1296"/>
            <w:vAlign w:val="center"/>
          </w:tcPr>
          <w:p>
            <w:pPr>
              <w:jc w:val="center"/>
            </w:pPr>
            <w:r>
              <w:rPr>
                <w:sz w:val="17"/>
              </w:rPr>
              <w:t>45,150</w:t>
            </w:r>
          </w:p>
        </w:tc>
        <w:tc>
          <w:tcPr>
            <w:tcW w:type="dxa" w:w="1655"/>
            <w:vAlign w:val="center"/>
          </w:tcPr>
          <w:p>
            <w:pPr>
              <w:jc w:val="center"/>
            </w:pPr>
            <w:r>
              <w:rPr>
                <w:sz w:val="17"/>
              </w:rPr>
              <w:t>0.8742</w:t>
            </w:r>
          </w:p>
        </w:tc>
        <w:tc>
          <w:tcPr>
            <w:tcW w:type="dxa" w:w="1440"/>
            <w:vAlign w:val="center"/>
          </w:tcPr>
          <w:p>
            <w:pPr>
              <w:jc w:val="center"/>
            </w:pPr>
            <w:r>
              <w:rPr>
                <w:sz w:val="17"/>
              </w:rPr>
              <w:t>0.1727</w:t>
            </w:r>
          </w:p>
        </w:tc>
        <w:tc>
          <w:tcPr>
            <w:tcW w:type="dxa" w:w="1440"/>
            <w:vAlign w:val="center"/>
          </w:tcPr>
          <w:p>
            <w:pPr>
              <w:jc w:val="center"/>
            </w:pPr>
            <w:r>
              <w:rPr>
                <w:sz w:val="17"/>
              </w:rPr>
              <w:t>0.1650</w:t>
            </w:r>
          </w:p>
        </w:tc>
      </w:tr>
    </w:tbl>
    <w:p>
      <w:pPr>
        <w:spacing w:after="200"/>
      </w:pPr>
      <w:r>
        <w:rPr>
          <w:i/>
          <w:sz w:val="18"/>
        </w:rPr>
        <w:t>Note. AP = average precision; AUROC = area under the receiver operating characteristic curve. External validation was signal-only, and thresholds were selected on internal validation data only.</w:t>
      </w:r>
    </w:p>
    <w:p>
      <w:pPr>
        <w:keepNext/>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jc w:val="center"/>
            </w:pPr>
            <w:r>
              <w:rPr>
                <w:b/>
                <w:sz w:val="17"/>
              </w:rPr>
              <w:t>Dataset</w:t>
            </w:r>
          </w:p>
        </w:tc>
        <w:tc>
          <w:tcPr>
            <w:tcW w:type="dxa" w:w="1800"/>
            <w:vAlign w:val="center"/>
            <w:shd w:fill="F2F4F7"/>
          </w:tcPr>
          <w:p>
            <w:pPr>
              <w:jc w:val="center"/>
            </w:pPr>
            <w:r>
              <w:rPr>
                <w:b/>
                <w:sz w:val="17"/>
              </w:rPr>
              <w:t>Macro Brier</w:t>
            </w:r>
          </w:p>
        </w:tc>
        <w:tc>
          <w:tcPr>
            <w:tcW w:type="dxa" w:w="1800"/>
            <w:vAlign w:val="center"/>
            <w:shd w:fill="F2F4F7"/>
          </w:tcPr>
          <w:p>
            <w:pPr>
              <w:jc w:val="center"/>
            </w:pPr>
            <w:r>
              <w:rPr>
                <w:b/>
                <w:sz w:val="17"/>
              </w:rPr>
              <w:t>Micro Brier</w:t>
            </w:r>
          </w:p>
        </w:tc>
        <w:tc>
          <w:tcPr>
            <w:tcW w:type="dxa" w:w="1800"/>
            <w:vAlign w:val="center"/>
            <w:shd w:fill="F2F4F7"/>
          </w:tcPr>
          <w:p>
            <w:pPr>
              <w:jc w:val="center"/>
            </w:pPr>
            <w:r>
              <w:rPr>
                <w:b/>
                <w:sz w:val="17"/>
              </w:rPr>
              <w:t>Macro ECE</w:t>
            </w:r>
          </w:p>
        </w:tc>
        <w:tc>
          <w:tcPr>
            <w:tcW w:type="dxa" w:w="1800"/>
            <w:vAlign w:val="center"/>
            <w:shd w:fill="F2F4F7"/>
          </w:tcPr>
          <w:p>
            <w:pPr>
              <w:jc w:val="center"/>
            </w:pPr>
            <w:r>
              <w:rPr>
                <w:b/>
                <w:sz w:val="17"/>
              </w:rPr>
              <w:t>Macro MCE</w:t>
            </w:r>
          </w:p>
        </w:tc>
      </w:tr>
      <w:tr>
        <w:tc>
          <w:tcPr>
            <w:tcW w:type="dxa" w:w="2592"/>
            <w:vAlign w:val="center"/>
          </w:tcPr>
          <w:p>
            <w:pPr>
              <w:jc w:val="left"/>
            </w:pPr>
            <w:r>
              <w:rPr>
                <w:sz w:val="17"/>
              </w:rPr>
              <w:t>CPSC2018</w:t>
            </w:r>
          </w:p>
        </w:tc>
        <w:tc>
          <w:tcPr>
            <w:tcW w:type="dxa" w:w="1800"/>
            <w:vAlign w:val="center"/>
          </w:tcPr>
          <w:p>
            <w:pPr>
              <w:jc w:val="center"/>
            </w:pPr>
            <w:r>
              <w:rPr>
                <w:sz w:val="17"/>
              </w:rPr>
              <w:t>0.1268</w:t>
            </w:r>
          </w:p>
        </w:tc>
        <w:tc>
          <w:tcPr>
            <w:tcW w:type="dxa" w:w="1800"/>
            <w:vAlign w:val="center"/>
          </w:tcPr>
          <w:p>
            <w:pPr>
              <w:jc w:val="center"/>
            </w:pPr>
            <w:r>
              <w:rPr>
                <w:sz w:val="17"/>
              </w:rPr>
              <w:t>0.1268</w:t>
            </w:r>
          </w:p>
        </w:tc>
        <w:tc>
          <w:tcPr>
            <w:tcW w:type="dxa" w:w="1800"/>
            <w:vAlign w:val="center"/>
          </w:tcPr>
          <w:p>
            <w:pPr>
              <w:jc w:val="center"/>
            </w:pPr>
            <w:r>
              <w:rPr>
                <w:sz w:val="17"/>
              </w:rPr>
              <w:t>0.1262</w:t>
            </w:r>
          </w:p>
        </w:tc>
        <w:tc>
          <w:tcPr>
            <w:tcW w:type="dxa" w:w="1800"/>
            <w:vAlign w:val="center"/>
          </w:tcPr>
          <w:p>
            <w:pPr>
              <w:jc w:val="center"/>
            </w:pPr>
            <w:r>
              <w:rPr>
                <w:sz w:val="17"/>
              </w:rPr>
              <w:t>0.4099</w:t>
            </w:r>
          </w:p>
        </w:tc>
      </w:tr>
      <w:tr>
        <w:tc>
          <w:tcPr>
            <w:tcW w:type="dxa" w:w="2592"/>
            <w:vAlign w:val="center"/>
          </w:tcPr>
          <w:p>
            <w:pPr>
              <w:jc w:val="left"/>
            </w:pPr>
            <w:r>
              <w:rPr>
                <w:sz w:val="17"/>
              </w:rPr>
              <w:t>Chapman-Shaoxing</w:t>
            </w:r>
          </w:p>
        </w:tc>
        <w:tc>
          <w:tcPr>
            <w:tcW w:type="dxa" w:w="1800"/>
            <w:vAlign w:val="center"/>
          </w:tcPr>
          <w:p>
            <w:pPr>
              <w:jc w:val="center"/>
            </w:pPr>
            <w:r>
              <w:rPr>
                <w:sz w:val="17"/>
              </w:rPr>
              <w:t>0.0855</w:t>
            </w:r>
          </w:p>
        </w:tc>
        <w:tc>
          <w:tcPr>
            <w:tcW w:type="dxa" w:w="1800"/>
            <w:vAlign w:val="center"/>
          </w:tcPr>
          <w:p>
            <w:pPr>
              <w:jc w:val="center"/>
            </w:pPr>
            <w:r>
              <w:rPr>
                <w:sz w:val="17"/>
              </w:rPr>
              <w:t>0.0855</w:t>
            </w:r>
          </w:p>
        </w:tc>
        <w:tc>
          <w:tcPr>
            <w:tcW w:type="dxa" w:w="1800"/>
            <w:vAlign w:val="center"/>
          </w:tcPr>
          <w:p>
            <w:pPr>
              <w:jc w:val="center"/>
            </w:pPr>
            <w:r>
              <w:rPr>
                <w:sz w:val="17"/>
              </w:rPr>
              <w:t>0.1412</w:t>
            </w:r>
          </w:p>
        </w:tc>
        <w:tc>
          <w:tcPr>
            <w:tcW w:type="dxa" w:w="1800"/>
            <w:vAlign w:val="center"/>
          </w:tcPr>
          <w:p>
            <w:pPr>
              <w:jc w:val="center"/>
            </w:pPr>
            <w:r>
              <w:rPr>
                <w:sz w:val="17"/>
              </w:rPr>
              <w:t>0.7277</w:t>
            </w:r>
          </w:p>
        </w:tc>
      </w:tr>
    </w:tbl>
    <w:p>
      <w:pPr>
        <w:spacing w:after="200"/>
      </w:pPr>
      <w:r>
        <w:rPr>
          <w:i/>
          <w:sz w:val="18"/>
        </w:rPr>
        <w:t>Note. ECE = expected calibration error; MCE = maximum calibration error. External calibration was evaluated without external refitting.</w:t>
      </w:r>
    </w:p>
    <w:p>
      <w:pPr>
        <w:keepNext/>
      </w:pPr>
      <w:r>
        <w:rPr>
          <w:b/>
        </w:rPr>
        <w:t>Table 6a Stage 14L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jc w:val="center"/>
            </w:pPr>
            <w:r>
              <w:rPr>
                <w:b/>
                <w:sz w:val="17"/>
              </w:rPr>
              <w:t>Model</w:t>
            </w:r>
          </w:p>
        </w:tc>
        <w:tc>
          <w:tcPr>
            <w:tcW w:type="dxa" w:w="1440"/>
            <w:vAlign w:val="center"/>
            <w:shd w:fill="F2F4F7"/>
          </w:tcPr>
          <w:p>
            <w:pPr>
              <w:jc w:val="center"/>
            </w:pPr>
            <w:r>
              <w:rPr>
                <w:b/>
                <w:sz w:val="17"/>
              </w:rPr>
              <w:t>AUROC</w:t>
            </w:r>
          </w:p>
        </w:tc>
        <w:tc>
          <w:tcPr>
            <w:tcW w:type="dxa" w:w="1440"/>
            <w:vAlign w:val="center"/>
            <w:shd w:fill="F2F4F7"/>
          </w:tcPr>
          <w:p>
            <w:pPr>
              <w:jc w:val="center"/>
            </w:pPr>
            <w:r>
              <w:rPr>
                <w:b/>
                <w:sz w:val="17"/>
              </w:rPr>
              <w:t>AP</w:t>
            </w:r>
          </w:p>
        </w:tc>
        <w:tc>
          <w:tcPr>
            <w:tcW w:type="dxa" w:w="1440"/>
            <w:vAlign w:val="center"/>
            <w:shd w:fill="F2F4F7"/>
          </w:tcPr>
          <w:p>
            <w:pPr>
              <w:jc w:val="center"/>
            </w:pPr>
            <w:r>
              <w:rPr>
                <w:b/>
                <w:sz w:val="17"/>
              </w:rPr>
              <w:t>F1</w:t>
            </w:r>
          </w:p>
        </w:tc>
      </w:tr>
      <w:tr>
        <w:tc>
          <w:tcPr>
            <w:tcW w:type="dxa" w:w="3744"/>
            <w:vAlign w:val="center"/>
          </w:tcPr>
          <w:p>
            <w:pPr>
              <w:jc w:val="left"/>
            </w:pPr>
            <w:r>
              <w:rPr>
                <w:sz w:val="17"/>
              </w:rPr>
              <w:t>stage14l_signal_embedding_mlp</w:t>
            </w:r>
          </w:p>
        </w:tc>
        <w:tc>
          <w:tcPr>
            <w:tcW w:type="dxa" w:w="1440"/>
            <w:vAlign w:val="center"/>
          </w:tcPr>
          <w:p>
            <w:pPr>
              <w:jc w:val="center"/>
            </w:pPr>
            <w:r>
              <w:rPr>
                <w:sz w:val="17"/>
              </w:rPr>
              <w:t>0.9094</w:t>
            </w:r>
          </w:p>
        </w:tc>
        <w:tc>
          <w:tcPr>
            <w:tcW w:type="dxa" w:w="1440"/>
            <w:vAlign w:val="center"/>
          </w:tcPr>
          <w:p>
            <w:pPr>
              <w:jc w:val="center"/>
            </w:pPr>
            <w:r>
              <w:rPr>
                <w:sz w:val="17"/>
              </w:rPr>
              <w:t>0.7722</w:t>
            </w:r>
          </w:p>
        </w:tc>
        <w:tc>
          <w:tcPr>
            <w:tcW w:type="dxa" w:w="1440"/>
            <w:vAlign w:val="center"/>
          </w:tcPr>
          <w:p>
            <w:pPr>
              <w:jc w:val="center"/>
            </w:pPr>
            <w:r>
              <w:rPr>
                <w:sz w:val="17"/>
              </w:rPr>
              <w:t>0.6981</w:t>
            </w:r>
          </w:p>
        </w:tc>
      </w:tr>
      <w:tr>
        <w:tc>
          <w:tcPr>
            <w:tcW w:type="dxa" w:w="3744"/>
            <w:vAlign w:val="center"/>
          </w:tcPr>
          <w:p>
            <w:pPr>
              <w:jc w:val="left"/>
            </w:pPr>
            <w:r>
              <w:rPr>
                <w:sz w:val="17"/>
              </w:rPr>
              <w:t>stage14l_structured_mlp</w:t>
            </w:r>
          </w:p>
        </w:tc>
        <w:tc>
          <w:tcPr>
            <w:tcW w:type="dxa" w:w="1440"/>
            <w:vAlign w:val="center"/>
          </w:tcPr>
          <w:p>
            <w:pPr>
              <w:jc w:val="center"/>
            </w:pPr>
            <w:r>
              <w:rPr>
                <w:sz w:val="17"/>
              </w:rPr>
              <w:t>0.5704</w:t>
            </w:r>
          </w:p>
        </w:tc>
        <w:tc>
          <w:tcPr>
            <w:tcW w:type="dxa" w:w="1440"/>
            <w:vAlign w:val="center"/>
          </w:tcPr>
          <w:p>
            <w:pPr>
              <w:jc w:val="center"/>
            </w:pPr>
            <w:r>
              <w:rPr>
                <w:sz w:val="17"/>
              </w:rPr>
              <w:t>0.3045</w:t>
            </w:r>
          </w:p>
        </w:tc>
        <w:tc>
          <w:tcPr>
            <w:tcW w:type="dxa" w:w="1440"/>
            <w:vAlign w:val="center"/>
          </w:tcPr>
          <w:p>
            <w:pPr>
              <w:jc w:val="center"/>
            </w:pPr>
            <w:r>
              <w:rPr>
                <w:sz w:val="17"/>
              </w:rPr>
              <w:t>0.0000</w:t>
            </w:r>
          </w:p>
        </w:tc>
      </w:tr>
      <w:tr>
        <w:tc>
          <w:tcPr>
            <w:tcW w:type="dxa" w:w="3744"/>
            <w:vAlign w:val="center"/>
          </w:tcPr>
          <w:p>
            <w:pPr>
              <w:jc w:val="left"/>
            </w:pPr>
            <w:r>
              <w:rPr>
                <w:sz w:val="17"/>
              </w:rPr>
              <w:t>stage14l_fair_concat_mlp</w:t>
            </w:r>
          </w:p>
        </w:tc>
        <w:tc>
          <w:tcPr>
            <w:tcW w:type="dxa" w:w="1440"/>
            <w:vAlign w:val="center"/>
          </w:tcPr>
          <w:p>
            <w:pPr>
              <w:jc w:val="center"/>
            </w:pPr>
            <w:r>
              <w:rPr>
                <w:sz w:val="17"/>
              </w:rPr>
              <w:t>0.9097</w:t>
            </w:r>
          </w:p>
        </w:tc>
        <w:tc>
          <w:tcPr>
            <w:tcW w:type="dxa" w:w="1440"/>
            <w:vAlign w:val="center"/>
          </w:tcPr>
          <w:p>
            <w:pPr>
              <w:jc w:val="center"/>
            </w:pPr>
            <w:r>
              <w:rPr>
                <w:sz w:val="17"/>
              </w:rPr>
              <w:t>0.7731</w:t>
            </w:r>
          </w:p>
        </w:tc>
        <w:tc>
          <w:tcPr>
            <w:tcW w:type="dxa" w:w="1440"/>
            <w:vAlign w:val="center"/>
          </w:tcPr>
          <w:p>
            <w:pPr>
              <w:jc w:val="center"/>
            </w:pPr>
            <w:r>
              <w:rPr>
                <w:sz w:val="17"/>
              </w:rPr>
              <w:t>0.6938</w:t>
            </w:r>
          </w:p>
        </w:tc>
      </w:tr>
    </w:tbl>
    <w:p>
      <w:pPr>
        <w:spacing w:after="200"/>
      </w:pPr>
      <w:r>
        <w:rPr>
          <w:i/>
          <w:sz w:val="18"/>
        </w:rPr>
        <w:t>Note. AP = average precision; AUROC = area under the receiver operating characteristic curve. Stage 14L was a reproducibility/feasibility audit, not an external multimodal validation result.</w:t>
      </w:r>
    </w:p>
    <w:p>
      <w:pPr>
        <w:keepNext/>
      </w:pPr>
      <w:r>
        <w:rPr>
          <w:b/>
        </w:rPr>
        <w:t>Table 6b Stage 14L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jc w:val="center"/>
            </w:pPr>
            <w:r>
              <w:rPr>
                <w:b/>
                <w:sz w:val="17"/>
              </w:rPr>
              <w:t>Dataset</w:t>
            </w:r>
          </w:p>
        </w:tc>
        <w:tc>
          <w:tcPr>
            <w:tcW w:type="dxa" w:w="1872"/>
            <w:vAlign w:val="center"/>
            <w:shd w:fill="F2F4F7"/>
          </w:tcPr>
          <w:p>
            <w:pPr>
              <w:jc w:val="center"/>
            </w:pPr>
            <w:r>
              <w:rPr>
                <w:b/>
                <w:sz w:val="17"/>
              </w:rPr>
              <w:t>Signal records</w:t>
            </w:r>
          </w:p>
        </w:tc>
        <w:tc>
          <w:tcPr>
            <w:tcW w:type="dxa" w:w="2880"/>
            <w:vAlign w:val="center"/>
            <w:shd w:fill="F2F4F7"/>
          </w:tcPr>
          <w:p>
            <w:pPr>
              <w:jc w:val="center"/>
            </w:pPr>
            <w:r>
              <w:rPr>
                <w:b/>
                <w:sz w:val="17"/>
              </w:rPr>
              <w:t>Joinable structured records</w:t>
            </w:r>
          </w:p>
        </w:tc>
        <w:tc>
          <w:tcPr>
            <w:tcW w:type="dxa" w:w="1584"/>
            <w:vAlign w:val="center"/>
            <w:shd w:fill="F2F4F7"/>
          </w:tcPr>
          <w:p>
            <w:pPr>
              <w:jc w:val="center"/>
            </w:pPr>
            <w:r>
              <w:rPr>
                <w:b/>
                <w:sz w:val="17"/>
              </w:rPr>
              <w:t>Coverage</w:t>
            </w:r>
          </w:p>
        </w:tc>
      </w:tr>
      <w:tr>
        <w:tc>
          <w:tcPr>
            <w:tcW w:type="dxa" w:w="2448"/>
            <w:vAlign w:val="center"/>
          </w:tcPr>
          <w:p>
            <w:pPr>
              <w:jc w:val="left"/>
            </w:pPr>
            <w:r>
              <w:rPr>
                <w:sz w:val="17"/>
              </w:rPr>
              <w:t>CPSC2018</w:t>
            </w:r>
          </w:p>
        </w:tc>
        <w:tc>
          <w:tcPr>
            <w:tcW w:type="dxa" w:w="1872"/>
            <w:vAlign w:val="center"/>
          </w:tcPr>
          <w:p>
            <w:pPr>
              <w:jc w:val="center"/>
            </w:pPr>
            <w:r>
              <w:rPr>
                <w:sz w:val="17"/>
              </w:rPr>
              <w:t>9,944</w:t>
            </w:r>
          </w:p>
        </w:tc>
        <w:tc>
          <w:tcPr>
            <w:tcW w:type="dxa" w:w="2880"/>
            <w:vAlign w:val="center"/>
          </w:tcPr>
          <w:p>
            <w:pPr>
              <w:jc w:val="center"/>
            </w:pPr>
            <w:r>
              <w:rPr>
                <w:sz w:val="17"/>
              </w:rPr>
              <w:t>2</w:t>
            </w:r>
          </w:p>
        </w:tc>
        <w:tc>
          <w:tcPr>
            <w:tcW w:type="dxa" w:w="1584"/>
            <w:vAlign w:val="center"/>
          </w:tcPr>
          <w:p>
            <w:pPr>
              <w:jc w:val="center"/>
            </w:pPr>
            <w:r>
              <w:rPr>
                <w:sz w:val="17"/>
              </w:rPr>
              <w:t>0.000201</w:t>
            </w:r>
          </w:p>
        </w:tc>
      </w:tr>
      <w:tr>
        <w:tc>
          <w:tcPr>
            <w:tcW w:type="dxa" w:w="2448"/>
            <w:vAlign w:val="center"/>
          </w:tcPr>
          <w:p>
            <w:pPr>
              <w:jc w:val="left"/>
            </w:pPr>
            <w:r>
              <w:rPr>
                <w:sz w:val="17"/>
              </w:rPr>
              <w:t>Chapman-Shaoxing</w:t>
            </w:r>
          </w:p>
        </w:tc>
        <w:tc>
          <w:tcPr>
            <w:tcW w:type="dxa" w:w="1872"/>
            <w:vAlign w:val="center"/>
          </w:tcPr>
          <w:p>
            <w:pPr>
              <w:jc w:val="center"/>
            </w:pPr>
            <w:r>
              <w:rPr>
                <w:sz w:val="17"/>
              </w:rPr>
              <w:t>45,150</w:t>
            </w:r>
          </w:p>
        </w:tc>
        <w:tc>
          <w:tcPr>
            <w:tcW w:type="dxa" w:w="2880"/>
            <w:vAlign w:val="center"/>
          </w:tcPr>
          <w:p>
            <w:pPr>
              <w:jc w:val="center"/>
            </w:pPr>
            <w:r>
              <w:rPr>
                <w:sz w:val="17"/>
              </w:rPr>
              <w:t>2</w:t>
            </w:r>
          </w:p>
        </w:tc>
        <w:tc>
          <w:tcPr>
            <w:tcW w:type="dxa" w:w="1584"/>
            <w:vAlign w:val="center"/>
          </w:tcPr>
          <w:p>
            <w:pPr>
              <w:jc w:val="center"/>
            </w:pPr>
            <w:r>
              <w:rPr>
                <w:sz w:val="17"/>
              </w:rPr>
              <w:t>0.000044</w:t>
            </w:r>
          </w:p>
        </w:tc>
      </w:tr>
    </w:tbl>
    <w:p>
      <w:pPr>
        <w:spacing w:after="200"/>
      </w:pPr>
      <w:r>
        <w:rPr>
          <w:i/>
          <w:sz w:val="18"/>
        </w:rPr>
        <w:t>Note. The external structured-feature coverage was insufficient to support external multimodal validation.</w:t>
      </w:r>
    </w:p>
    <w:p>
      <w:pPr>
        <w:sectPr>
          <w:pgSz w:w="15840" w:h="12240" w:orient="landscape"/>
          <w:pgMar w:top="1008" w:right="1008" w:bottom="1008" w:left="1008" w:header="720" w:footer="720" w:gutter="0"/>
          <w:cols w:space="720"/>
          <w:docGrid w:linePitch="360"/>
        </w:sectPr>
      </w:pPr>
    </w:p>
    <w:p>
      <w:pPr>
        <w:pStyle w:val="Heading1"/>
      </w:pPr>
      <w:r>
        <w:t>Discussion</w:t>
      </w:r>
    </w:p>
    <w:p>
      <w:pPr>
        <w:pStyle w:val="Heading2"/>
      </w:pPr>
      <w:r>
        <w:t>Principal findings</w:t>
      </w:r>
    </w:p>
    <w:p>
      <w:r>
        <w:t>This study evaluated a reproducibility-aware decision-support framework for multimodal ECG risk stratification. The main finding is not only that multimodal fusion improved internal PTB-XL/PTB-XL+ performance. The broader finding is that multimodal ECG models should be evaluated with explicit evidence boundaries: internal multimodal performance, signal-level external validation, calibration, uncertainty, explainability, decision-curve analysis, and structured-feature reproducibility should not be collapsed into one broad validation claim.</w:t>
      </w:r>
    </w:p>
    <w:p>
      <w:r>
        <w:t>The internal full-schema results showed that released PTB-XL+ structured features added value beyond ECG signal embeddings under frozen PTB-XL splits. Paired bootstrap analysis supported the fair concat gain over both the signal-embedding MLP and the strong signal-only comparator for AUROC, AP, and F1. Gated fusion was numerically close to fair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internal modality complementarity.</w:t>
      </w:r>
    </w:p>
    <w:p>
      <w:pPr>
        <w:pStyle w:val="Heading2"/>
      </w:pPr>
      <w:r>
        <w:t>External validation and transportability</w:t>
      </w:r>
    </w:p>
    <w:p>
      <w:r>
        <w:t>The external evidence is intentionally limited to signal-only validation. CPSC2018 supported limited signal-level external transportability for the NORM/CD high-confidence label subset. Chapman-Shaoxing showed preserved ranking performance but weak AP and F1, especially in low-prevalence labels. The per-class diagnostic table supports this explanation: Chapman-Shaoxing MI had only 123 positive cases among 45,150 evaluated records, with prevalence 0.0027, AP 0.0796, and F1 0.0277. This pattern is consistent with label mapping constraints, prevalence differences, and transfer of thresholds selected on internal validation data. The absence of external threshold tuning strengthens the evaluation protocol but also limits thresholded performance.</w:t>
      </w:r>
    </w:p>
    <w:p>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pPr>
      <w:r>
        <w:t>Decision-support evaluation layers</w:t>
      </w:r>
    </w:p>
    <w:p>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pPr>
      <w:r>
        <w:t>Structured-feature reproducibility as a central finding</w:t>
      </w:r>
    </w:p>
    <w:p>
      <w:r>
        <w:t>Stage 14L is a key BMC MIDM-compatible contribution because it shows why external multimodal claims are difficult in public multimodal ECG research. The audit found that a reproducibility-validated allclose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pPr>
      <w:r>
        <w:t>Strengths</w:t>
      </w:r>
    </w:p>
    <w:p>
      <w:r>
        <w:t>The study's main strength is transparent boundary-setting. It avoids claiming more than the data support and directly reports negative or near-null findings, including the gated-versus-concat null result and the Stage 14L external multimodal NO-GO decision. This approach is well suited to medical informatics, where model-performance claims need to be connected to reproducibility, calibration, external transportability, and auditability.</w:t>
      </w:r>
    </w:p>
    <w:p>
      <w:pPr>
        <w:pStyle w:val="Heading2"/>
      </w:pPr>
      <w:r>
        <w:t>Limitations</w:t>
      </w:r>
    </w:p>
    <w:p>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 were necessarily incomplete. Sixth, exact external reconstruction of PTB-XL+ structured features was not achieved. Seventh, decision-curve analysis was exploratory, internal, and threshold-dependent. Eighth, no clinical workflow, clinician interaction, or patient-outcome study was performed.</w:t>
      </w:r>
    </w:p>
    <w:p>
      <w:pPr>
        <w:pStyle w:val="Heading1"/>
      </w:pPr>
      <w:r>
        <w:t>Conclusions</w:t>
      </w:r>
    </w:p>
    <w:p>
      <w:r>
        <w:t>This framework supports reproducibility-aware evaluation of multimodal ECG risk stratification and demonstrates internal multimodal complementarity with signal-level external validation. Simple fair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pPr>
      <w:r>
        <w:t>List of Abbreviations</w:t>
      </w:r>
    </w:p>
    <w:p>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pPr>
      <w:r>
        <w:t>Declarations</w:t>
      </w:r>
    </w:p>
    <w:p>
      <w:pPr>
        <w:pStyle w:val="Heading2"/>
      </w:pPr>
      <w:r>
        <w:t>Ethics approval and consent to participate</w:t>
      </w:r>
    </w:p>
    <w:p>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pPr>
      <w:r>
        <w:t>Consent for publication</w:t>
      </w:r>
    </w:p>
    <w:p>
      <w:r>
        <w:t>Not applicable.</w:t>
      </w:r>
    </w:p>
    <w:p>
      <w:pPr>
        <w:pStyle w:val="Heading2"/>
      </w:pPr>
      <w:r>
        <w:t>Availability of data and materials</w:t>
      </w:r>
    </w:p>
    <w:p>
      <w:r>
        <w:t>PTB-XL is available from PhysioNet at https://physionet.org/content/ptb-xl/. PTB-XL+ is available from PhysioNet at https://physionet.org/content/ptb-xl-plus/. CPSC2018 is available from the China Physiological Signal Challenge 2018 website at http://2018.icbeb.org/Challenge.html. The Chapman-Shaoxing ECG database is available from PhysioNet at https://physionet.org/content/ecg-arrhythmia/. The analysis code and manuscript artifacts are available at https://github.com/seefreewind/ecg-ptbxl-multimodal-decision-support and archived on Zenodo at https://doi.org/10.5281/zenodo.21091784.</w:t>
      </w:r>
    </w:p>
    <w:p>
      <w:pPr>
        <w:pStyle w:val="Heading2"/>
      </w:pPr>
      <w:r>
        <w:t>Competing interests</w:t>
      </w:r>
    </w:p>
    <w:p>
      <w:r>
        <w:t>The authors declare that they have no competing interests.</w:t>
      </w:r>
    </w:p>
    <w:p>
      <w:pPr>
        <w:pStyle w:val="Heading2"/>
      </w:pPr>
      <w:r>
        <w:t>Funding</w:t>
      </w:r>
    </w:p>
    <w:p>
      <w:r>
        <w:t>The authors received no specific funding for this work.</w:t>
      </w:r>
    </w:p>
    <w:p>
      <w:pPr>
        <w:pStyle w:val="Heading2"/>
      </w:pPr>
      <w:r>
        <w:t>Authors' contributions</w:t>
      </w:r>
    </w:p>
    <w:p>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pPr>
      <w:r>
        <w:t>Acknowledgements</w:t>
      </w:r>
    </w:p>
    <w:p>
      <w:r>
        <w:t>Not applicable.</w:t>
      </w:r>
    </w:p>
    <w:p>
      <w:pPr>
        <w:pStyle w:val="Heading1"/>
      </w:pPr>
      <w:r>
        <w:t>References</w:t>
      </w:r>
    </w:p>
    <w:p>
      <w:r>
        <w:t>1. Wagner P, Strodthoff N, Bousseljot RD, Kreiseler D, Lunze FI, Samek W, Schaeffter T. PTB-XL, a large publicly available electrocardiography dataset. Scientific Data. 2020;7:154. doi:10.1038/s41597-020-0495-6.</w:t>
      </w:r>
    </w:p>
    <w:p>
      <w:r>
        <w:t>2. Goldberger AL, Amaral LA, Glass L, Hausdorff JM, Ivanov PC, Mark RG, Mietus JE, Moody GB, Peng CK, Stanley HE. PhysioBank, PhysioToolkit, and PhysioNet: components of a new research resource for complex physiologic signals. Circulation. 2000;101(23):e215–e220.</w:t>
      </w:r>
    </w:p>
    <w:p>
      <w:r>
        <w:t>3. Strodthoff N, Mehari T, Nagel C, Aston PJ, Sundar A, Graff C, Kanters JK, Haverkamp W, Doessel O, Loewe A, Bar M, Schaeffter T. PTB-XL+, a comprehensive electrocardiographic feature dataset. Scientific Data. 2023;10:279. doi:10.1038/s41597-023-02153-8.</w:t>
      </w:r>
    </w:p>
    <w:p>
      <w:r>
        <w:t>4. Guo C, Pleiss G, Sun Y, Weinberger KQ. On calibration of modern neural networks. Proceedings of the 34th International Conference on Machine Learning. 2017;70:1321–1330.</w:t>
      </w:r>
    </w:p>
    <w:p>
      <w:r>
        <w:t>5. Brier GW. Verification of forecasts expressed in terms of probability. Monthly Weather Review. 1950;78:1–3.</w:t>
      </w:r>
    </w:p>
    <w:p>
      <w:r>
        <w:t>6. Naeini MP, Cooper GF, Hauskrecht M. Obtaining well calibrated probabilities using Bayesian binning. Proceedings of the AAAI Conference on Artificial Intelligence. 2015;29.</w:t>
      </w:r>
    </w:p>
    <w:p>
      <w:r>
        <w:t>7. Gal Y, Ghahramani Z. Dropout as a Bayesian approximation: representing model uncertainty in deep learning. Proceedings of the 33rd International Conference on Machine Learning. 2016;48:1050–1059.</w:t>
      </w:r>
    </w:p>
    <w:p>
      <w:r>
        <w:t>8. Geifman Y, El-Yaniv R. Selective classification for deep neural networks. Advances in Neural Information Processing Systems. 2017;30.</w:t>
      </w:r>
    </w:p>
    <w:p>
      <w:r>
        <w:t>9. Lundberg SM, Lee SI. A unified approach to interpreting model predictions. Advances in Neural Information Processing Systems. 2017;30.</w:t>
      </w:r>
    </w:p>
    <w:p>
      <w:r>
        <w:t>10. Sundararajan M, Taly A, Yan Q. Axiomatic attribution for deep networks. Proceedings of the 34th International Conference on Machine Learning. 2017;70:3319–3328.</w:t>
      </w:r>
    </w:p>
    <w:p>
      <w:r>
        <w:t>11. Vickers AJ, Elkin EB. Decision curve analysis: a novel method for evaluating prediction models. Medical Decision Making. 2006;26:565–574. doi:10.1177/0272989X06295361.</w:t>
      </w:r>
    </w:p>
    <w:p>
      <w:r>
        <w:t>12. Pilia N, Nagel C, Lenis G, Becker S, Doessel O, Loewe A. ECGdeli: An open source ECG delineation toolbox for MATLAB. SoftwareX. 2021;13:100639. doi:10.1016/j.softx.2020.100639.</w:t>
      </w:r>
    </w:p>
    <w:p>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r>
        <w:t>14. Zheng J, Zhang J, Danioko S, Yao H, Guo H, Rakovski C. A 12-lead electrocardiogram database for arrhythmia research covering more than 10,000 patients. Scientific Data. 2020;7:48. doi:10.1038/s41597-020-0386-x.</w:t>
      </w:r>
    </w:p>
    <w:p>
      <w:r>
        <w:t>15. Alday EAP, Gu A, Shah AJ, Robichaux C, Wong AKI, Liu C, Liu F, Rad AB, Elola A, Seyedi S, others. Classification of 12-lead ECGs: the PhysioNet/Computing in Cardiology Challenge 2020. Physiological Measurement. 2020;41:124003. doi:10.1088/1361-6579/abc960.</w:t>
      </w:r>
    </w:p>
    <w:p>
      <w:r>
        <w:t>16. He K, Zhang X, Ren S, Sun J. Deep residual learning for image recognition. Proceedings of the IEEE Conference on Computer Vision and Pattern Recognition. 2016:770–778.</w:t>
      </w:r>
    </w:p>
    <w:p>
      <w:r>
        <w:t>17. Selvaraju RR, Cogswell M, Das A, Vedantam R, Parikh D, Batra D. Grad-CAM: Visual explanations from deep networks via gradient-based localization. IEEE International Conference on Computer Vision. 2017:618–626.</w:t>
      </w:r>
    </w:p>
    <w:p>
      <w:r>
        <w:t>18. Ghassemi M, Oakden-Rayner L, Beam AL. The false hope of current approaches to explainable artificial intelligence in health care. The Lancet Digital Health. 2021;3:e745–e750. doi:10.1016/S2589-7500(21)00208-9.</w:t>
      </w:r>
    </w:p>
    <w:p>
      <w:r>
        <w:t>19. Efron B, Tibshirani RJ. An Introduction to the Bootstrap. Chapman and Hall/CRC. 1993.</w:t>
      </w:r>
    </w:p>
    <w:p>
      <w:pPr>
        <w:pStyle w:val="Heading1"/>
      </w:pPr>
      <w:r>
        <w:t>Figure Legends</w:t>
      </w:r>
    </w:p>
    <w:p>
      <w:r>
        <w:rPr>
          <w:b/>
        </w:rPr>
        <w:t>Figure 1. Study design and evidence boundaries.</w:t>
      </w:r>
      <w:r>
        <w:t xml:space="preserve"> PTB-XL/PTB-XL+ were used for internal multimodal model development and evaluation. CPSC2018 and Chapman-Shaoxing were used for signal-only external validation. Structured-feature reconstruction was audited but did not provide sufficient external coverage/fidelity to support external multimodal validation. No clinical deployment claim is made.</w:t>
      </w:r>
    </w:p>
    <w:p>
      <w:r>
        <w:rPr>
          <w:b/>
        </w:rPr>
        <w:t>Figure 2. Internal model performance and statistically supported multimodal gain.</w:t>
      </w:r>
      <w:r>
        <w:t xml:space="preserve"> Internal frozen-test AUROC, AP, and F1 are shown for strong signal-only, signal-embedding MLP, structured MLP, fair concat, and gated fusion models. Paired bootstrap analysis supported fair concat improvement over signal-embedding MLP and strong signal-only comparators, whereas gated fusion did not show a statistically clear additional benefit over fair concat.</w:t>
      </w:r>
    </w:p>
    <w:p>
      <w:r>
        <w:rPr>
          <w:b/>
        </w:rPr>
        <w:t>Figure 3. Signal-only external validation.</w:t>
      </w:r>
      <w:r>
        <w:t xml:space="preserve"> Macro AUROC, AP, and F1 are shown for CPSC2018 and Chapman-Shaoxing under pre-specified high-confidence label mappings. Chapman-Shaoxing AP/F1 should be interpreted with low prevalence, label mapping, and internal-threshold transfer.</w:t>
      </w:r>
    </w:p>
    <w:p>
      <w:r>
        <w:rPr>
          <w:b/>
        </w:rPr>
        <w:t>Figure 4. Calibration and reliability under internal testing and external distribution shift.</w:t>
      </w:r>
      <w:r>
        <w:t xml:space="preserve"> Calibration and reliability summaries are shown for internal models and external signal-only predictions. Temperature scaling was fit on internal validation data and not refit externally.</w:t>
      </w:r>
    </w:p>
    <w:p>
      <w:r>
        <w:rPr>
          <w:b/>
        </w:rPr>
        <w:t>Supplementary Figure S1. Stage 14L structured-feature reproducibility audit.</w:t>
      </w:r>
      <w:r>
        <w:t xml:space="preserve"> The reproducibility-validated reduced structured schema contained 138 allclose features. Reduced structured-only performance collapsed internally, reduced fair concat did not preserve stable multimodal gain, and external structured-feature coverage was two joinable records per external dataset.</w:t>
      </w:r>
    </w:p>
    <w:p>
      <w:pPr>
        <w:pStyle w:val="Heading1"/>
      </w:pPr>
      <w:r>
        <w:t>Supplementary Material List</w:t>
      </w:r>
    </w:p>
    <w:p>
      <w:pPr>
        <w:pStyle w:val="ListBullet"/>
      </w:pPr>
      <w:r>
        <w:t>Supplementary Table S1: External signal-only per-class diagnostics.</w:t>
      </w:r>
    </w:p>
    <w:p>
      <w:pPr>
        <w:pStyle w:val="ListBullet"/>
      </w:pPr>
      <w:r>
        <w:t>Supplementary Table S2: External signal-only calibration.</w:t>
      </w:r>
    </w:p>
    <w:p>
      <w:pPr>
        <w:pStyle w:val="ListBullet"/>
      </w:pPr>
      <w:r>
        <w:t>Supplementary Table S3: Stage 14L structured-feature reproducibility audit.</w:t>
      </w:r>
    </w:p>
    <w:p>
      <w:pPr>
        <w:pStyle w:val="ListBullet"/>
      </w:pPr>
      <w:r>
        <w:t>Supplementary Figure S1: Stage 14L structured-feature reproducibility audit.</w:t>
      </w:r>
    </w:p>
    <w:p>
      <w:pPr>
        <w:sectPr>
          <w:pgSz w:w="12240" w:h="15840"/>
          <w:pgMar w:top="1440" w:right="1440" w:bottom="1440" w:left="1440" w:header="720" w:footer="720" w:gutter="0"/>
          <w:cols w:space="720"/>
          <w:docGrid w:linePitch="360"/>
        </w:sectPr>
      </w:pPr>
    </w:p>
    <w:p>
      <w:pPr>
        <w:pStyle w:val="Heading1"/>
      </w:pPr>
      <w:r>
        <w:t>Figures</w:t>
      </w:r>
    </w:p>
    <w:p>
      <w:r>
        <w:t>Separate high-resolution PNG/PDF/SVG figure files are available for upload where applicable.</w:t>
      </w:r>
    </w:p>
    <w:p>
      <w:pPr>
        <w:pStyle w:val="Heading2"/>
      </w:pPr>
      <w:r>
        <w:t>Figure 1. Study design and evidence boundaries.</w:t>
      </w:r>
    </w:p>
    <w:p>
      <w:r>
        <w:drawing>
          <wp:inline xmlns:a="http://schemas.openxmlformats.org/drawingml/2006/main" xmlns:pic="http://schemas.openxmlformats.org/drawingml/2006/picture">
            <wp:extent cx="5669280" cy="2619752"/>
            <wp:docPr id="1" name="Picture 1"/>
            <wp:cNvGraphicFramePr>
              <a:graphicFrameLocks noChangeAspect="1"/>
            </wp:cNvGraphicFramePr>
            <a:graphic>
              <a:graphicData uri="http://schemas.openxmlformats.org/drawingml/2006/picture">
                <pic:pic>
                  <pic:nvPicPr>
                    <pic:cNvPr id="0" name="figure1_study_design_evidence_boundary.png"/>
                    <pic:cNvPicPr/>
                  </pic:nvPicPr>
                  <pic:blipFill>
                    <a:blip r:embed="rId9"/>
                    <a:stretch>
                      <a:fillRect/>
                    </a:stretch>
                  </pic:blipFill>
                  <pic:spPr>
                    <a:xfrm>
                      <a:off x="0" y="0"/>
                      <a:ext cx="5669280" cy="2619752"/>
                    </a:xfrm>
                    <a:prstGeom prst="rect"/>
                  </pic:spPr>
                </pic:pic>
              </a:graphicData>
            </a:graphic>
          </wp:inline>
        </w:drawing>
      </w:r>
    </w:p>
    <w:p>
      <w:pPr>
        <w:pStyle w:val="Heading2"/>
      </w:pPr>
      <w:r>
        <w:t>Figure 2. Internal model performance and statistically supported multimodal gain.</w:t>
      </w:r>
    </w:p>
    <w:p>
      <w:r>
        <w:drawing>
          <wp:inline xmlns:a="http://schemas.openxmlformats.org/drawingml/2006/main" xmlns:pic="http://schemas.openxmlformats.org/drawingml/2006/picture">
            <wp:extent cx="5669280" cy="2851105"/>
            <wp:docPr id="2" name="Picture 2"/>
            <wp:cNvGraphicFramePr>
              <a:graphicFrameLocks noChangeAspect="1"/>
            </wp:cNvGraphicFramePr>
            <a:graphic>
              <a:graphicData uri="http://schemas.openxmlformats.org/drawingml/2006/picture">
                <pic:pic>
                  <pic:nvPicPr>
                    <pic:cNvPr id="0" name="figure2_internal_model_performance.png"/>
                    <pic:cNvPicPr/>
                  </pic:nvPicPr>
                  <pic:blipFill>
                    <a:blip r:embed="rId10"/>
                    <a:stretch>
                      <a:fillRect/>
                    </a:stretch>
                  </pic:blipFill>
                  <pic:spPr>
                    <a:xfrm>
                      <a:off x="0" y="0"/>
                      <a:ext cx="5669280" cy="2851105"/>
                    </a:xfrm>
                    <a:prstGeom prst="rect"/>
                  </pic:spPr>
                </pic:pic>
              </a:graphicData>
            </a:graphic>
          </wp:inline>
        </w:drawing>
      </w:r>
    </w:p>
    <w:p>
      <w:pPr>
        <w:pStyle w:val="Heading2"/>
      </w:pPr>
      <w:r>
        <w:t>Figure 3. Signal-only external validation.</w:t>
      </w:r>
    </w:p>
    <w:p>
      <w:r>
        <w:drawing>
          <wp:inline xmlns:a="http://schemas.openxmlformats.org/drawingml/2006/main" xmlns:pic="http://schemas.openxmlformats.org/drawingml/2006/picture">
            <wp:extent cx="5669280" cy="3333404"/>
            <wp:docPr id="3" name="Picture 3"/>
            <wp:cNvGraphicFramePr>
              <a:graphicFrameLocks noChangeAspect="1"/>
            </wp:cNvGraphicFramePr>
            <a:graphic>
              <a:graphicData uri="http://schemas.openxmlformats.org/drawingml/2006/picture">
                <pic:pic>
                  <pic:nvPicPr>
                    <pic:cNvPr id="0" name="figure3_external_signal_only_validation.png"/>
                    <pic:cNvPicPr/>
                  </pic:nvPicPr>
                  <pic:blipFill>
                    <a:blip r:embed="rId11"/>
                    <a:stretch>
                      <a:fillRect/>
                    </a:stretch>
                  </pic:blipFill>
                  <pic:spPr>
                    <a:xfrm>
                      <a:off x="0" y="0"/>
                      <a:ext cx="5669280" cy="3333404"/>
                    </a:xfrm>
                    <a:prstGeom prst="rect"/>
                  </pic:spPr>
                </pic:pic>
              </a:graphicData>
            </a:graphic>
          </wp:inline>
        </w:drawing>
      </w:r>
    </w:p>
    <w:p>
      <w:pPr>
        <w:pStyle w:val="Heading2"/>
      </w:pPr>
      <w:r>
        <w:t>Figure 4. Calibration and reliability under internal testing and external distribution shift.</w:t>
      </w:r>
    </w:p>
    <w:p>
      <w:r>
        <w:drawing>
          <wp:inline xmlns:a="http://schemas.openxmlformats.org/drawingml/2006/main" xmlns:pic="http://schemas.openxmlformats.org/drawingml/2006/picture">
            <wp:extent cx="5669280" cy="1704453"/>
            <wp:docPr id="4" name="Picture 4"/>
            <wp:cNvGraphicFramePr>
              <a:graphicFrameLocks noChangeAspect="1"/>
            </wp:cNvGraphicFramePr>
            <a:graphic>
              <a:graphicData uri="http://schemas.openxmlformats.org/drawingml/2006/picture">
                <pic:pic>
                  <pic:nvPicPr>
                    <pic:cNvPr id="0" name="figure4_calibration_reliability.png"/>
                    <pic:cNvPicPr/>
                  </pic:nvPicPr>
                  <pic:blipFill>
                    <a:blip r:embed="rId12"/>
                    <a:stretch>
                      <a:fillRect/>
                    </a:stretch>
                  </pic:blipFill>
                  <pic:spPr>
                    <a:xfrm>
                      <a:off x="0" y="0"/>
                      <a:ext cx="5669280" cy="1704453"/>
                    </a:xfrm>
                    <a:prstGeom prst="rect"/>
                  </pic:spPr>
                </pic:pic>
              </a:graphicData>
            </a:graphic>
          </wp:inline>
        </w:drawing>
      </w:r>
    </w:p>
    <w:p>
      <w:pPr>
        <w:pStyle w:val="Heading2"/>
      </w:pPr>
      <w:r>
        <w:t>Supplementary Figure S1. Stage 14L structured-feature reproducibility audit.</w:t>
      </w:r>
    </w:p>
    <w:p>
      <w:r>
        <w:drawing>
          <wp:inline xmlns:a="http://schemas.openxmlformats.org/drawingml/2006/main" xmlns:pic="http://schemas.openxmlformats.org/drawingml/2006/picture">
            <wp:extent cx="5669280" cy="1881152"/>
            <wp:docPr id="5" name="Picture 5"/>
            <wp:cNvGraphicFramePr>
              <a:graphicFrameLocks noChangeAspect="1"/>
            </wp:cNvGraphicFramePr>
            <a:graphic>
              <a:graphicData uri="http://schemas.openxmlformats.org/drawingml/2006/picture">
                <pic:pic>
                  <pic:nvPicPr>
                    <pic:cNvPr id="0" name="supp_figure_s1_stage14l_audit.png"/>
                    <pic:cNvPicPr/>
                  </pic:nvPicPr>
                  <pic:blipFill>
                    <a:blip r:embed="rId13"/>
                    <a:stretch>
                      <a:fillRect/>
                    </a:stretch>
                  </pic:blipFill>
                  <pic:spPr>
                    <a:xfrm>
                      <a:off x="0" y="0"/>
                      <a:ext cx="5669280" cy="1881152"/>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