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t>A Reproducibility-Aware Decision-Support Evaluation Framework for Multimodal ECG Diagnostic Classification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whether released PTB-XL+ structured features support internal multimodal complementarity and whether comparable structured features can be reconstructed with enough fidelity and coverage for external multimodal validation.</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signal-only, signal-embedding, structured-feature, matched multimodal concatenation, and gated-fusion models. Model selection, threshold tuning, and temperature scaling used internal validation data only. External evaluation was restricted to signal-only validation on CPSC2018 and the Chapman-Shaoxing-Ningbo ECG database using restricted high-confidence label subsets. A structured-feature reproducibility audit tested whether a numerically concordant reduced feature subset could preserve internal multimodal gain and provide adequate external joinability.</w:t>
      </w:r>
    </w:p>
    <w:p>
      <w:pPr>
        <w:spacing w:line="480" w:lineRule="auto" w:after="0"/>
      </w:pPr>
      <w:r>
        <w:rPr>
          <w:b/>
        </w:rPr>
        <w:t>Results:</w:t>
      </w:r>
      <w:r>
        <w:t xml:space="preserve"> The structured-feature reproducibility audit found 138 numerically concordant features, reduced-schema structured-only degradation, no stable reduced-schema multimodal gain, and only two joinable external structured records per dataset; external multimodal validation was therefore not supported. In internal PTB-XL/PTB-XL+ testing with the released full structured schema, matched multimodal concatenation achieved AUROC 0.9193, average precision 0.7953, and F1 0.7208, exceeding the signal-embedding comparator by +0.0098 AUROC, +0.0229 average precision, and +0.0205 F1. Gated fusion showed no statistically clear advantage over concatenation. Signal-only external validation achieved macro AUROC 0.9071 on CPSC2018 and 0.8742 on the Chapman-Shaoxing-Ningbo high-confidence label subset, but AP and F1 were low in labels with low prevalence and transferred thresholds.</w:t>
      </w:r>
    </w:p>
    <w:p>
      <w:pPr>
        <w:spacing w:line="480" w:lineRule="auto" w:after="0"/>
      </w:pPr>
      <w:r>
        <w:rPr>
          <w:b/>
        </w:rPr>
        <w:t>Conclusions:</w:t>
      </w:r>
      <w:r>
        <w:t xml:space="preserve"> The main contribution is a reproducibility-aware evidence boundary: released PTB-XL+ features supported modest internal multimodal complementarity, but current external structured-feature extraction and joining did not support external multimodal validation. Further work requires externally reproducible structured features and prospective clinical data before clinical-use claims can be considered.</w:t>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Risk stratification.</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diagnostic assessment.</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Chapman-Shaoxing-Ningbo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pPr>
        <w:spacing w:line="480" w:lineRule="auto" w:after="0"/>
      </w:pPr>
      <w:r>
        <w:t>In this study, we evaluated a reproducibility-aware multimodal ECG decision-support framework using PTB-XL/PTB-XL+ internally and CPSC2018 plus the Chapman-Shaoxing-Ningbo ECG database externally. The primary objective was to define whether an internal PTB-XL/PTB-XL+ multimodal result can be responsibly extended to external multimodal validation when structured features must be reconstructed de novo. Secondary objectives were to quantify the internal value of released PTB-XL+ structured features beyond ECG signal embeddings, compare matched concatenation with gated fusion, and report signal-only external behavior under restricted high-confidence label subsets.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Chapman-Shaoxing-Ningbo waveforms for signal-only evaluation [13–15]. External structured-feature generation was audited for reproducibility and coverage feasibility, but external structured features were not used for validated multimodal external testing.</w:t>
      </w:r>
    </w:p>
    <w:p>
      <w:pPr>
        <w:spacing w:line="480" w:lineRule="auto" w:after="0"/>
      </w:pPr>
      <w:r>
        <w:t>The evaluation followed a prespecified staged workflow. Initial data-ingestion checks verified the PTB-XL local data layout, parsed diagnostic labels, and generated frozen train, validation, and test files. Internal modeling then compared signal-only, signal-embedding, structured-only, matched concat, and gated fusion models. Subsequent analyses evaluated calibration, uncertainty triage, post-hoc explainability, exploratory decision-curve analysis, signal-only external validation, and structured-feature reproducibility.</w:t>
      </w:r>
    </w:p>
    <w:p>
      <w:pPr>
        <w:pStyle w:val="Heading2"/>
        <w:spacing w:line="480" w:lineRule="auto" w:after="0"/>
      </w:pPr>
      <w:r>
        <w:t>AI-assisted tools and author responsibility</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spacing w:line="480" w:lineRule="auto" w:after="0"/>
      </w:pPr>
      <w:r>
        <w:t>A TRIPOD+AI-oriented reporting checklist is provided as Supplementary Table S7 [20].</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the PhysioNet Chapman-Shaoxing-Ningbo ECG database served as external waveform datasets for signal-only validation. CPSC2018 was evaluated for the restricted high-confidence NORM/CD label subset. The Chapman-Shaoxing-Ningbo combined WFDB release was evaluated for the restricted MI/CD/HYP label subset; sinus rhythm labels were not treated as main-analysis NORM. The evaluated 45,150 records refer to this combined PhysioNet release after waveform-readability filtering, not to the earlier 10,646-record Chapman-Shaoxing publication alone. Records that could not be read as WFDB waveforms were excluded. No external threshold tuning, external model selection, or external retraining was performed.</w:t>
      </w:r>
    </w:p>
    <w:p>
      <w:pPr>
        <w:spacing w:line="480" w:lineRule="auto" w:after="0"/>
      </w:pPr>
      <w:r>
        <w:t>The external label mappings are provided as a supplementary audit table. Main external evaluation retained only high-confidence mappings: CPSC2018 contributed NORM and CD, while the Chapman-Shaoxing-Ningbo database contributed MI, CD, and HYP. Medium-confidence labels such as ST-T abnormalities were not used in the main external analysis. This design makes external results label-scope-specific and prevents direct comparison with the five-label internal macro metrics.</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Matched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100 Hz waveforms, base channel width 64, three residual stages with two blocks per stage, dropout 0.2, and five output labels. Residual learning was used as the general architectural background [16]. The model provided both a direct waveform comparator and the 256-dimensional signal embedding for controlled multimodal comparison; embeddings were extracted from the penultimate representation of the trained signal model and then treated as frozen inputs for downstream MLP and matched-fusion experiments. Signal-embedding and structured MLP comparators used hidden dimensions 256/128 and 512/256, respectively, with dropout 0.3. The matched concat MLP used hidden dimensions 512/256, and the gated-fusion MLP used a 256-unit gating layer and a 256-unit classifier layer. Neural models were trained with Adam-compatible optimization settings as implemented in PyTorch using learning rate 0.001, weight decay 0.0001, batch size 64 for the signal model and 128 for MLP models, validation AUROC-based model selection, and early stopping patience of 8 epochs for the signal model and 10 epochs for MLP models. The fair fusion dataset combined signal embeddings and released structured features after median imputation and standardization defined on the training set.</w:t>
      </w:r>
    </w:p>
    <w:p>
      <w:pPr>
        <w:spacing w:line="480" w:lineRule="auto" w:after="0"/>
      </w:pPr>
      <w:r>
        <w:t>The signal-embedding MLP and the strong signal-only model therefore answer related but distinct questions. The signal-embedding MLP controls for the frozen representation used by multimodal fusion, whereas the strong signal-only model evaluates the end-to-end waveform classifier. Both comparators are reported to avoid attributing a multimodal gain to classifier-head differences alone.</w:t>
      </w:r>
    </w:p>
    <w:p>
      <w:pPr>
        <w:pStyle w:val="Heading2"/>
        <w:spacing w:line="480" w:lineRule="auto" w:after="0"/>
      </w:pPr>
      <w:r>
        <w:t>Fair comparison principle</w:t>
      </w:r>
    </w:p>
    <w:p>
      <w:pPr>
        <w:spacing w:line="480" w:lineRule="auto" w:after="0"/>
      </w:pPr>
      <w:r>
        <w:t>The gated fusion model was compared against matched concat because multimodal gains should not be attributed to architectural complexity when a simple fusion strategy can capture similar information. Signal-embedding, structured-only, matched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spacing w:line="480" w:lineRule="auto" w:after="0"/>
      </w:pPr>
      <w:r>
        <w:t>Decision-curve analysis</w:t>
      </w:r>
    </w:p>
    <w:p>
      <w:pPr>
        <w:spacing w:line="480" w:lineRule="auto" w:after="0"/>
      </w:pPr>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spacing w:line="480" w:lineRule="auto" w:after="0"/>
      </w:pPr>
      <w:r>
        <w:t>Structured-feature reproducibility audit</w:t>
      </w:r>
    </w:p>
    <w:p>
      <w:pPr>
        <w:spacing w:line="480" w:lineRule="auto" w:after="0"/>
      </w:pPr>
      <w:r>
        <w:t>The structured-feature reproducibility analysis was treated as a core feasibility audit. Instead of continuing attempts to reconstruct the full PTB-XL+ 531-column schema externally, the audit used a reduced structured-feature subset that had passed internal numerical concordance checks against released PTB-XL+ values. Candidate ECGdeli features were recomputed for a PTB-XL audit sample and compared with released PTB-XL+ values by feature name and ecg_id. A feature entered the reduced subset only when all non-missing paired values satisfied numpy-style allclose criteria with absolute tolerance 1e-6 and relative tolerance 1e-6; the manifest reports missingness, mean absolute error, median absolute error, and maximum absolute error for each selected feature. This subset contained 138 features. The reduced schema was tested internally with signal-embedding, structured-only, and matched concat models, and external coverage was checked for CPSC2018 and the Chapman-Shaoxing-Ningbo database.</w:t>
      </w:r>
    </w:p>
    <w:p>
      <w:pPr>
        <w:spacing w:line="480" w:lineRule="auto" w:after="0"/>
      </w:pPr>
      <w:r>
        <w:t>External joinability was defined operationally as the presence of both a signal-model prediction record and a candidate structured-feature row keyed by the standardized external record identifier after dataset-specific filename normalization. The two-record coverage result therefore supports a narrower conclusion: the current external extraction-and-joining pipeline did not provide enough matched structured rows for external multimodal evaluation. It should not be read as proof that compatible external structured-feature reconstruction is impossible in principle.</w:t>
      </w:r>
    </w:p>
    <w:p>
      <w:pPr>
        <w:spacing w:line="480" w:lineRule="auto" w:after="0"/>
      </w:pPr>
      <w:r>
        <w:t>The decision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not be supported.</w:t>
      </w:r>
    </w:p>
    <w:p>
      <w:pPr>
        <w:pStyle w:val="Heading2"/>
        <w:spacing w:line="480" w:lineRule="auto" w:after="0"/>
      </w:pPr>
      <w:r>
        <w:t>Statistical analysis</w:t>
      </w:r>
    </w:p>
    <w:p>
      <w:pPr>
        <w:spacing w:line="480" w:lineRule="auto" w:after="0"/>
      </w:pPr>
      <w:r>
        <w:t>Discrimination was summarized using macro AUROC, macro average precision, and macro F1. Macro metrics were computed as the unweighted mean across labels in the evaluated label scope. Thresholded metrics used thresholds selected on internal validation data. The frozen PTB-XL split included 17,418 training records, 2,183 validation records, and 2,198 test records after records without the required five-superclass label representation or readable waveform/feature alignment were excluded from the analysis set. Matched concat was compared with the strongest unimodal comparators using paired record-level bootstrap resampling on the frozen internal test set. Gated fusion and matched concat were also compared using paired bootstrap resampling on the frozen internal test set [19]. For each bootstrap replicate, ECG records were resampled with replacement, all class-specific metrics were recomputed in the resampled set, macro metrics were then recomputed within that replicate, and model deltas were calculated on the paired resample. The primary internal multimodal-gain bootstrap used 2,000 record-level resamples; other diagnostic bootstrap summaries used 1,000 resamples and percentile 95% confidence intervals. Bootstrap confidence intervals were reported without multiplicity adjustment and interpreted descriptively. External diagnostics were reported per dataset and per class. No external threshold optimization was performed.</w:t>
      </w:r>
    </w:p>
    <w:p>
      <w:pPr>
        <w:spacing w:line="480" w:lineRule="auto" w:after="0"/>
      </w:pPr>
      <w:r>
        <w:t>Exploratory decision-curve analysis was calculated per label and then summarized descriptively. The reported macro net benefit is the unweighted mean of label-specific net benefits at a given threshold; this aggregation is not a standard clinical utility endpoint and was used only to summarize internal threshold-dependent behavior. Label-specific DCA results are provided in supplementary source data.</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pPr>
        <w:spacing w:line="480" w:lineRule="auto" w:after="0"/>
      </w:pPr>
      <w:r>
        <w:t>Matched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spacing w:line="480" w:lineRule="auto" w:after="0"/>
      </w:pPr>
      <w:r>
        <w:t>Statistical support for the internal multimodal gain</w:t>
      </w:r>
    </w:p>
    <w:p>
      <w:pPr>
        <w:spacing w:line="480" w:lineRule="auto" w:after="0"/>
      </w:pPr>
      <w:r>
        <w:t>Paired record-level bootstrap analysis supported the internal matched concat gain over the signal-embedding comparator and the strong signal-only comparator. For matched concat minus signal-embedding MLP, the AUROC delta was +0.0098 with a 95% CI from +0.0067 to +0.0131, the AP delta was +0.0229 with a 95% CI from +0.0157 to +0.0302, and the F1 delta was +0.0205 with a 95% CI from +0.0088 to +0.0324. For matched concat minus strong signal-only, the AUROC delta was +0.0094 with a 95% CI from +0.0062 to +0.0127, the AP delta was +0.0232 with a 95% CI from +0.0151 to +0.0308, and the F1 delta was +0.0209 with a 95% CI from +0.0098 to +0.0319. None of these confidence intervals contained zero.</w:t>
      </w:r>
    </w:p>
    <w:p>
      <w:pPr>
        <w:spacing w:line="480" w:lineRule="auto" w:after="0"/>
      </w:pPr>
      <w:r>
        <w:t>These results provide statistical support for an internal multimodal gain, while remaining limited to the PTB-XL/PTB-XL+ internal evaluation setting. The absolute gain was modest, particularly for AUROC, so the result should be interpreted as evidence of modality complementarity rather than as a large performance improvement.</w:t>
      </w:r>
    </w:p>
    <w:p>
      <w:pPr>
        <w:spacing w:line="480" w:lineRule="auto" w:after="0"/>
      </w:pPr>
      <w:r>
        <w:t>Per-superclass internal diagnostics showed that the largest matched-concat improvement over the signal-embedding comparator occurred for HYP, where AUROC increased from 0.8359 to 0.8791, AP from 0.4839 to 0.5918, and F1 from 0.4444 to 0.5393. Differences for NORM, MI, STTC, and CD were smaller and should be interpreted as descriptive per-class context rather than separate confirmatory tests.</w:t>
      </w:r>
    </w:p>
    <w:p>
      <w:pPr>
        <w:pStyle w:val="Heading2"/>
        <w:spacing w:line="480" w:lineRule="auto" w:after="0"/>
      </w:pPr>
      <w:r>
        <w:t>Gated fusion versus matched concat</w:t>
      </w:r>
    </w:p>
    <w:p>
      <w:pPr>
        <w:spacing w:line="480" w:lineRule="auto" w:after="0"/>
      </w:pPr>
      <w:r>
        <w:t>Gated fusion did not show a statistically clear advantage over matched concat. The paired bootstrap delta for AUROC was +0.0003 with a 95% CI from -0.0015 to 0.0021. The AP delta was +0.0025 with a 95% CI from -0.0014 to 0.0070. The F1 delta was +0.0047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Matched concat had macro Brier score 0.0864 and macro ECE 0.0283. Gated fusion had macro Brier score 0.0844 and macro ECE 0.0193.</w:t>
      </w:r>
    </w:p>
    <w:p>
      <w:pPr>
        <w:spacing w:line="480" w:lineRule="auto" w:after="0"/>
      </w:pPr>
      <w:r>
        <w:t>Uncertainty triage, post-hoc explainability, and exploratory decision-curve analysis were retained as decision-support diagnostics. In the gated-fusion uncertainty analysis, retaining the lowest-uncertainty 80% of the test set retained 1,757 of 2,198 records and referred 441 records. In this retained subset, macro AUROC was 0.9303, AP was 0.8189, F1 was 0.7597, Brier score was 0.0687, and ECE was 0.0161. The corresponding full-coverage uncertainty-analysis values were macro AUROC 0.9196, AP 0.7978, temperature-scaled F1 0.7314, Brier score 0.0844, and ECE 0.0193; the primary Table 1 default-threshold gated-fusion F1 remains 0.7255 under the main performance-evaluation pipeline. Case-level explainability summaries identified retained correct examples, retained errors, and high-uncertainty referred errors; top structured features and signal leads were reported as audit outputs rather than causal explanations. Exploratory internal decision-curve analysis is best interpreted from the threshold curves and representative thresholds rather than as a clinical decision rule. For matched concat, macro net benefit was 0.2146 at threshold 0.10, 0.1908 at threshold 0.20, and 0.1724 at threshold 0.30; the corresponding net benefit versus treat-all was 0.0434, 0.1232, and 0.2380.</w:t>
      </w:r>
    </w:p>
    <w:p>
      <w:pPr>
        <w:pStyle w:val="Heading2"/>
        <w:spacing w:line="480" w:lineRule="auto" w:after="0"/>
      </w:pPr>
      <w:r>
        <w:t>Signal-only external validation</w:t>
      </w:r>
    </w:p>
    <w:p>
      <w:pPr>
        <w:spacing w:line="480" w:lineRule="auto" w:after="0"/>
      </w:pPr>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pPr>
        <w:spacing w:line="480" w:lineRule="auto" w:after="0"/>
      </w:pPr>
      <w:r>
        <w:t>Chapman-Shaoxing-Ningbo signal-only external validation included 45,150 evaluated records for the MI/CD/HYP high-confidence label scope. Macro AUROC was 0.8742, macro AP was 0.1727, and macro F1 was 0.1650. The Chapman-Shaoxing-Ningbo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imperfect cross-dataset label comparability, and transfer of thresholds selected on PTB-XL validation data. The MI result in particular should be viewed as diagnostic context rather than strong evidence of comparable thresholded performance.</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Chapman-Shaoxing-Ningbo had macro Brier 0.0855, micro Brier 0.0855, macro ECE 0.1412, and macro MCE 0.7277. This no-refit design was intentional: refitting temperature on external test labels would have violated the no-external-tuning evaluation principle.</w:t>
      </w:r>
    </w:p>
    <w:p>
      <w:pPr>
        <w:spacing w:line="480" w:lineRule="auto" w:after="0"/>
      </w:pPr>
      <w:r>
        <w:t>These results should be reported as transparent calibration behavior under distribution shift, not as evidence of clinical calibration readiness. The high external MCE values indicate that temperature scaling fitted on internal validation data did not transfer reliably to external label/data settings; therefore, external probabilities should not be interpreted as calibrated risks.</w:t>
      </w:r>
    </w:p>
    <w:p>
      <w:pPr>
        <w:pStyle w:val="Heading2"/>
        <w:spacing w:line="480" w:lineRule="auto" w:after="0"/>
      </w:pPr>
      <w:r>
        <w:t>structured-feature reproducibility audit</w:t>
      </w:r>
    </w:p>
    <w:p>
      <w:pPr>
        <w:spacing w:line="480" w:lineRule="auto" w:after="0"/>
      </w:pPr>
      <w:r>
        <w:t>The structured-feature reproducibility audit found that only 138 structured features were available in the numerically concordant subset. In the reduced-schema internal test, the signal-embedding MLP achieved AUROC 0.9094, AP 0.7722, and F1 0.6981. The reduced structured-only MLP showed marked degradation, with AUROC 0.5704, AP 0.3045, and F1 0.0000. The zero F1 reflected default-threshold predictions after loss of most structured-feature information; with validation-tuned thresholds, the same reduced structured-only model reached test F1 0.4002, confirming that the zero default-threshold F1 was a thresholding/probability-scale artifact rather than an empty evaluation pipeline. Reduced matched concat achieved AUROC 0.9097, AP 0.7731, and F1 0.6938, which did not show stable gain over the signal-embedding MLP.</w:t>
      </w:r>
    </w:p>
    <w:p>
      <w:pPr>
        <w:spacing w:line="480" w:lineRule="auto" w:after="0"/>
      </w:pPr>
      <w:r>
        <w:t>External structured-feature coverage also failed the quality gate. CPSC2018 had 2 joinable candidate structured records among 9,944 signal prediction records, for coverage 0.000201. Chapman-Shaoxing-Ningbo had 2 joinable candidate structured records among 45,150 signal prediction records, for coverage 0.000044.</w:t>
      </w:r>
    </w:p>
    <w:p>
      <w:pPr>
        <w:spacing w:line="480" w:lineRule="auto" w:after="0"/>
      </w:pPr>
      <w:r>
        <w:t>The audit did not support external multimodal validation. This should be presented as a structured-feature reproducibility and feasibility result, not as a failed external multimodal model.</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sz w:val="17"/>
              </w:rPr>
              <w:t>0.9098</w:t>
            </w:r>
          </w:p>
        </w:tc>
        <w:tc>
          <w:tcPr>
            <w:tcW w:type="dxa" w:w="1728"/>
            <w:vAlign w:val="center"/>
          </w:tcPr>
          <w:p>
            <w:pPr>
              <w:spacing w:line="240" w:lineRule="auto" w:after="0"/>
              <w:jc w:val="center"/>
            </w:pPr>
            <w:r>
              <w:rPr>
                <w:sz w:val="17"/>
              </w:rPr>
              <w:t>0.7721</w:t>
            </w:r>
          </w:p>
        </w:tc>
        <w:tc>
          <w:tcPr>
            <w:tcW w:type="dxa" w:w="1728"/>
            <w:vAlign w:val="center"/>
          </w:tcPr>
          <w:p>
            <w:pPr>
              <w:spacing w:line="240" w:lineRule="auto" w:after="0"/>
              <w:jc w:val="center"/>
            </w:pPr>
            <w:r>
              <w:rPr>
                <w:sz w:val="17"/>
              </w:rPr>
              <w:t>0.6998</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sz w:val="17"/>
              </w:rPr>
              <w:t>0.9094</w:t>
            </w:r>
          </w:p>
        </w:tc>
        <w:tc>
          <w:tcPr>
            <w:tcW w:type="dxa" w:w="1728"/>
            <w:vAlign w:val="center"/>
          </w:tcPr>
          <w:p>
            <w:pPr>
              <w:spacing w:line="240" w:lineRule="auto" w:after="0"/>
              <w:jc w:val="center"/>
            </w:pPr>
            <w:r>
              <w:rPr>
                <w:sz w:val="17"/>
              </w:rPr>
              <w:t>0.7724</w:t>
            </w:r>
          </w:p>
        </w:tc>
        <w:tc>
          <w:tcPr>
            <w:tcW w:type="dxa" w:w="1728"/>
            <w:vAlign w:val="center"/>
          </w:tcPr>
          <w:p>
            <w:pPr>
              <w:spacing w:line="240" w:lineRule="auto" w:after="0"/>
              <w:jc w:val="center"/>
            </w:pPr>
            <w:r>
              <w:rPr>
                <w:sz w:val="17"/>
              </w:rPr>
              <w:t>0.7002</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sz w:val="17"/>
              </w:rPr>
              <w:t>0.9046</w:t>
            </w:r>
          </w:p>
        </w:tc>
        <w:tc>
          <w:tcPr>
            <w:tcW w:type="dxa" w:w="1728"/>
            <w:vAlign w:val="center"/>
          </w:tcPr>
          <w:p>
            <w:pPr>
              <w:spacing w:line="240" w:lineRule="auto" w:after="0"/>
              <w:jc w:val="center"/>
            </w:pPr>
            <w:r>
              <w:rPr>
                <w:sz w:val="17"/>
              </w:rPr>
              <w:t>0.7652</w:t>
            </w:r>
          </w:p>
        </w:tc>
        <w:tc>
          <w:tcPr>
            <w:tcW w:type="dxa" w:w="1728"/>
            <w:vAlign w:val="center"/>
          </w:tcPr>
          <w:p>
            <w:pPr>
              <w:spacing w:line="240" w:lineRule="auto" w:after="0"/>
              <w:jc w:val="center"/>
            </w:pPr>
            <w:r>
              <w:rPr>
                <w:sz w:val="17"/>
              </w:rPr>
              <w:t>0.6899</w:t>
            </w:r>
          </w:p>
        </w:tc>
      </w:tr>
      <w:tr>
        <w:tc>
          <w:tcPr>
            <w:tcW w:type="dxa" w:w="3744"/>
            <w:vAlign w:val="center"/>
          </w:tcPr>
          <w:p>
            <w:pPr>
              <w:spacing w:line="240" w:lineRule="auto" w:after="0"/>
              <w:jc w:val="left"/>
            </w:pPr>
            <w:r>
              <w:t>matched MLP-concat</w:t>
            </w:r>
          </w:p>
        </w:tc>
        <w:tc>
          <w:tcPr>
            <w:tcW w:type="dxa" w:w="1728"/>
            <w:vAlign w:val="center"/>
          </w:tcPr>
          <w:p>
            <w:pPr>
              <w:spacing w:line="240" w:lineRule="auto" w:after="0"/>
              <w:jc w:val="center"/>
            </w:pPr>
            <w:r>
              <w:rPr>
                <w:sz w:val="17"/>
              </w:rPr>
              <w:t>0.9193</w:t>
            </w:r>
          </w:p>
        </w:tc>
        <w:tc>
          <w:tcPr>
            <w:tcW w:type="dxa" w:w="1728"/>
            <w:vAlign w:val="center"/>
          </w:tcPr>
          <w:p>
            <w:pPr>
              <w:spacing w:line="240" w:lineRule="auto" w:after="0"/>
              <w:jc w:val="center"/>
            </w:pPr>
            <w:r>
              <w:rPr>
                <w:sz w:val="17"/>
              </w:rPr>
              <w:t>0.7953</w:t>
            </w:r>
          </w:p>
        </w:tc>
        <w:tc>
          <w:tcPr>
            <w:tcW w:type="dxa" w:w="1728"/>
            <w:vAlign w:val="center"/>
          </w:tcPr>
          <w:p>
            <w:pPr>
              <w:spacing w:line="240" w:lineRule="auto" w:after="0"/>
              <w:jc w:val="center"/>
            </w:pPr>
            <w:r>
              <w:rPr>
                <w:sz w:val="17"/>
              </w:rPr>
              <w:t>0.7208</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sz w:val="17"/>
              </w:rPr>
              <w:t>0.9196</w:t>
            </w:r>
          </w:p>
        </w:tc>
        <w:tc>
          <w:tcPr>
            <w:tcW w:type="dxa" w:w="1728"/>
            <w:vAlign w:val="center"/>
          </w:tcPr>
          <w:p>
            <w:pPr>
              <w:spacing w:line="240" w:lineRule="auto" w:after="0"/>
              <w:jc w:val="center"/>
            </w:pPr>
            <w:r>
              <w:rPr>
                <w:sz w:val="17"/>
              </w:rPr>
              <w:t>0.7978</w:t>
            </w:r>
          </w:p>
        </w:tc>
        <w:tc>
          <w:tcPr>
            <w:tcW w:type="dxa" w:w="1728"/>
            <w:vAlign w:val="center"/>
          </w:tcPr>
          <w:p>
            <w:pPr>
              <w:spacing w:line="240" w:lineRule="auto" w:after="0"/>
              <w:jc w:val="center"/>
            </w:pPr>
            <w:r>
              <w:rPr>
                <w:sz w:val="17"/>
              </w:rPr>
              <w:t>0.7255</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p>
      <w:pPr>
        <w:spacing w:line="480" w:lineRule="auto" w:after="0"/>
      </w:pPr>
      <w:r>
        <w:t>Note. Deltas are calculated from unrounded prediction-level estimates and paired bootstrap resamples, so displayed deltas may differ slightly from subtraction of rounded table values.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t>Matched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0.9094</w:t>
            </w:r>
          </w:p>
        </w:tc>
        <w:tc>
          <w:tcPr>
            <w:tcW w:type="dxa" w:w="1152"/>
            <w:vAlign w:val="center"/>
          </w:tcPr>
          <w:p>
            <w:pPr>
              <w:spacing w:line="240" w:lineRule="auto" w:after="0"/>
              <w:jc w:val="center"/>
            </w:pPr>
            <w:r>
              <w:rPr>
                <w:sz w:val="17"/>
              </w:rPr>
              <w:t>+0.0098</w:t>
            </w:r>
          </w:p>
        </w:tc>
        <w:tc>
          <w:tcPr>
            <w:tcW w:type="dxa" w:w="2088"/>
            <w:vAlign w:val="center"/>
          </w:tcPr>
          <w:p>
            <w:pPr>
              <w:spacing w:line="240" w:lineRule="auto" w:after="0"/>
              <w:jc w:val="center"/>
            </w:pPr>
            <w:r>
              <w:rPr>
                <w:sz w:val="17"/>
              </w:rPr>
              <w:t>+0.0067 to +0.0131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0.7724</w:t>
            </w:r>
          </w:p>
        </w:tc>
        <w:tc>
          <w:tcPr>
            <w:tcW w:type="dxa" w:w="1152"/>
            <w:vAlign w:val="center"/>
          </w:tcPr>
          <w:p>
            <w:pPr>
              <w:spacing w:line="240" w:lineRule="auto" w:after="0"/>
              <w:jc w:val="center"/>
            </w:pPr>
            <w:r>
              <w:rPr>
                <w:sz w:val="17"/>
              </w:rPr>
              <w:t>+0.0229</w:t>
            </w:r>
          </w:p>
        </w:tc>
        <w:tc>
          <w:tcPr>
            <w:tcW w:type="dxa" w:w="2088"/>
            <w:vAlign w:val="center"/>
          </w:tcPr>
          <w:p>
            <w:pPr>
              <w:spacing w:line="240" w:lineRule="auto" w:after="0"/>
              <w:jc w:val="center"/>
            </w:pPr>
            <w:r>
              <w:rPr>
                <w:sz w:val="17"/>
              </w:rPr>
              <w:t>+0.0157 to +0.0302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0.7002</w:t>
            </w:r>
          </w:p>
        </w:tc>
        <w:tc>
          <w:tcPr>
            <w:tcW w:type="dxa" w:w="1152"/>
            <w:vAlign w:val="center"/>
          </w:tcPr>
          <w:p>
            <w:pPr>
              <w:spacing w:line="240" w:lineRule="auto" w:after="0"/>
              <w:jc w:val="center"/>
            </w:pPr>
            <w:r>
              <w:rPr>
                <w:sz w:val="17"/>
              </w:rPr>
              <w:t>+0.0205</w:t>
            </w:r>
          </w:p>
        </w:tc>
        <w:tc>
          <w:tcPr>
            <w:tcW w:type="dxa" w:w="2088"/>
            <w:vAlign w:val="center"/>
          </w:tcPr>
          <w:p>
            <w:pPr>
              <w:spacing w:line="240" w:lineRule="auto" w:after="0"/>
              <w:jc w:val="center"/>
            </w:pPr>
            <w:r>
              <w:rPr>
                <w:sz w:val="17"/>
              </w:rPr>
              <w:t>+0.0088 to +0.0324</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0.9098</w:t>
            </w:r>
          </w:p>
        </w:tc>
        <w:tc>
          <w:tcPr>
            <w:tcW w:type="dxa" w:w="1152"/>
            <w:vAlign w:val="center"/>
          </w:tcPr>
          <w:p>
            <w:pPr>
              <w:spacing w:line="240" w:lineRule="auto" w:after="0"/>
              <w:jc w:val="center"/>
            </w:pPr>
            <w:r>
              <w:rPr>
                <w:sz w:val="17"/>
              </w:rPr>
              <w:t>+0.0094</w:t>
            </w:r>
          </w:p>
        </w:tc>
        <w:tc>
          <w:tcPr>
            <w:tcW w:type="dxa" w:w="2088"/>
            <w:vAlign w:val="center"/>
          </w:tcPr>
          <w:p>
            <w:pPr>
              <w:spacing w:line="240" w:lineRule="auto" w:after="0"/>
              <w:jc w:val="center"/>
            </w:pPr>
            <w:r>
              <w:rPr>
                <w:sz w:val="17"/>
              </w:rPr>
              <w:t>+0.0062 to +0.0127</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0.7721</w:t>
            </w:r>
          </w:p>
        </w:tc>
        <w:tc>
          <w:tcPr>
            <w:tcW w:type="dxa" w:w="1152"/>
            <w:vAlign w:val="center"/>
          </w:tcPr>
          <w:p>
            <w:pPr>
              <w:spacing w:line="240" w:lineRule="auto" w:after="0"/>
              <w:jc w:val="center"/>
            </w:pPr>
            <w:r>
              <w:rPr>
                <w:sz w:val="17"/>
              </w:rPr>
              <w:t>+0.0232</w:t>
            </w:r>
          </w:p>
        </w:tc>
        <w:tc>
          <w:tcPr>
            <w:tcW w:type="dxa" w:w="2088"/>
            <w:vAlign w:val="center"/>
          </w:tcPr>
          <w:p>
            <w:pPr>
              <w:spacing w:line="240" w:lineRule="auto" w:after="0"/>
              <w:jc w:val="center"/>
            </w:pPr>
            <w:r>
              <w:rPr>
                <w:sz w:val="17"/>
              </w:rPr>
              <w:t>+0.0151 to +0.0308</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0.6998</w:t>
            </w:r>
          </w:p>
        </w:tc>
        <w:tc>
          <w:tcPr>
            <w:tcW w:type="dxa" w:w="1152"/>
            <w:vAlign w:val="center"/>
          </w:tcPr>
          <w:p>
            <w:pPr>
              <w:spacing w:line="240" w:lineRule="auto" w:after="0"/>
              <w:jc w:val="center"/>
            </w:pPr>
            <w:r>
              <w:rPr>
                <w:sz w:val="17"/>
              </w:rPr>
              <w:t>+0.0209</w:t>
            </w:r>
          </w:p>
        </w:tc>
        <w:tc>
          <w:tcPr>
            <w:tcW w:type="dxa" w:w="2088"/>
            <w:vAlign w:val="center"/>
          </w:tcPr>
          <w:p>
            <w:pPr>
              <w:spacing w:line="240" w:lineRule="auto" w:after="0"/>
              <w:jc w:val="center"/>
            </w:pPr>
            <w:r>
              <w:rPr>
                <w:sz w:val="17"/>
              </w:rPr>
              <w:t>+0.0098 to +0.0319</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t>Table 3 Gated fusion versus matched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fair</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sz w:val="17"/>
              </w:rPr>
              <w:t>+0.0003</w:t>
            </w:r>
          </w:p>
        </w:tc>
        <w:tc>
          <w:tcPr>
            <w:tcW w:type="dxa" w:w="2592"/>
            <w:vAlign w:val="center"/>
          </w:tcPr>
          <w:p>
            <w:pPr>
              <w:spacing w:line="240" w:lineRule="auto" w:after="0"/>
              <w:jc w:val="center"/>
            </w:pPr>
            <w:r>
              <w:rPr>
                <w:sz w:val="17"/>
              </w:rPr>
              <w:t>-0.0015 to 0.0021</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sz w:val="17"/>
              </w:rPr>
              <w:t>+0.0025</w:t>
            </w:r>
          </w:p>
        </w:tc>
        <w:tc>
          <w:tcPr>
            <w:tcW w:type="dxa" w:w="2592"/>
            <w:vAlign w:val="center"/>
          </w:tcPr>
          <w:p>
            <w:pPr>
              <w:spacing w:line="240" w:lineRule="auto" w:after="0"/>
              <w:jc w:val="center"/>
            </w:pPr>
            <w:r>
              <w:rPr>
                <w:sz w:val="17"/>
              </w:rPr>
              <w:t>-0.0014 to 0.0070</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sz w:val="17"/>
              </w:rPr>
              <w:t>+0.0047</w:t>
            </w:r>
          </w:p>
        </w:tc>
        <w:tc>
          <w:tcPr>
            <w:tcW w:type="dxa" w:w="2592"/>
            <w:vAlign w:val="center"/>
          </w:tcPr>
          <w:p>
            <w:pPr>
              <w:spacing w:line="240" w:lineRule="auto" w:after="0"/>
              <w:jc w:val="center"/>
            </w:pPr>
            <w:r>
              <w:rPr>
                <w:sz w:val="17"/>
              </w:rPr>
              <w:t>-0.0044 to 0.0142</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sz w:val="17"/>
              </w:rPr>
              <w:t>0.9071</w:t>
            </w:r>
          </w:p>
        </w:tc>
        <w:tc>
          <w:tcPr>
            <w:tcW w:type="dxa" w:w="1440"/>
            <w:vAlign w:val="center"/>
          </w:tcPr>
          <w:p>
            <w:pPr>
              <w:spacing w:line="240" w:lineRule="auto" w:after="0"/>
              <w:jc w:val="center"/>
            </w:pPr>
            <w:r>
              <w:rPr>
                <w:sz w:val="17"/>
              </w:rPr>
              <w:t>0.6509</w:t>
            </w:r>
          </w:p>
        </w:tc>
        <w:tc>
          <w:tcPr>
            <w:tcW w:type="dxa" w:w="1440"/>
            <w:vAlign w:val="center"/>
          </w:tcPr>
          <w:p>
            <w:pPr>
              <w:spacing w:line="240" w:lineRule="auto" w:after="0"/>
              <w:jc w:val="center"/>
            </w:pPr>
            <w:r>
              <w:rPr>
                <w:sz w:val="17"/>
              </w:rPr>
              <w:t>0.5904</w:t>
            </w:r>
          </w:p>
        </w:tc>
      </w:tr>
      <w:tr>
        <w:tc>
          <w:tcPr>
            <w:tcW w:type="dxa" w:w="2448"/>
            <w:vAlign w:val="center"/>
          </w:tcPr>
          <w:p>
            <w:pPr>
              <w:spacing w:line="240" w:lineRule="auto" w:after="0"/>
              <w:jc w:val="left"/>
            </w:pPr>
            <w:r>
              <w:t>Chapman-Shaoxing-Ningbo</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sz w:val="17"/>
              </w:rPr>
              <w:t>0.8742</w:t>
            </w:r>
          </w:p>
        </w:tc>
        <w:tc>
          <w:tcPr>
            <w:tcW w:type="dxa" w:w="1440"/>
            <w:vAlign w:val="center"/>
          </w:tcPr>
          <w:p>
            <w:pPr>
              <w:spacing w:line="240" w:lineRule="auto" w:after="0"/>
              <w:jc w:val="center"/>
            </w:pPr>
            <w:r>
              <w:rPr>
                <w:sz w:val="17"/>
              </w:rPr>
              <w:t>0.1727</w:t>
            </w:r>
          </w:p>
        </w:tc>
        <w:tc>
          <w:tcPr>
            <w:tcW w:type="dxa" w:w="1440"/>
            <w:vAlign w:val="center"/>
          </w:tcPr>
          <w:p>
            <w:pPr>
              <w:spacing w:line="240" w:lineRule="auto" w:after="0"/>
              <w:jc w:val="center"/>
            </w:pPr>
            <w:r>
              <w:rPr>
                <w:sz w:val="17"/>
              </w:rPr>
              <w:t>0.1650</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0.1262</w:t>
            </w:r>
          </w:p>
        </w:tc>
        <w:tc>
          <w:tcPr>
            <w:tcW w:type="dxa" w:w="1800"/>
            <w:vAlign w:val="center"/>
          </w:tcPr>
          <w:p>
            <w:pPr>
              <w:spacing w:line="240" w:lineRule="auto" w:after="0"/>
              <w:jc w:val="center"/>
            </w:pPr>
            <w:r>
              <w:rPr>
                <w:sz w:val="17"/>
              </w:rPr>
              <w:t>0.4099</w:t>
            </w:r>
          </w:p>
        </w:tc>
      </w:tr>
      <w:tr>
        <w:tc>
          <w:tcPr>
            <w:tcW w:type="dxa" w:w="2592"/>
            <w:vAlign w:val="center"/>
          </w:tcPr>
          <w:p>
            <w:pPr>
              <w:spacing w:line="240" w:lineRule="auto" w:after="0"/>
              <w:jc w:val="left"/>
            </w:pPr>
            <w:r>
              <w:t>Chapman-Shaoxing-Ningbo</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0.1412</w:t>
            </w:r>
          </w:p>
        </w:tc>
        <w:tc>
          <w:tcPr>
            <w:tcW w:type="dxa" w:w="1800"/>
            <w:vAlign w:val="center"/>
          </w:tcPr>
          <w:p>
            <w:pPr>
              <w:spacing w:line="240" w:lineRule="auto" w:after="0"/>
              <w:jc w:val="center"/>
            </w:pPr>
            <w:r>
              <w:rPr>
                <w:sz w:val="17"/>
              </w:rPr>
              <w:t>0.7277</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t>Table 6a Structured-feature reproducibility audit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stage14l_signal_embedding_mlp</w:t>
            </w:r>
          </w:p>
        </w:tc>
        <w:tc>
          <w:tcPr>
            <w:tcW w:type="dxa" w:w="1440"/>
            <w:vAlign w:val="center"/>
          </w:tcPr>
          <w:p>
            <w:pPr>
              <w:spacing w:line="240" w:lineRule="auto" w:after="0"/>
              <w:jc w:val="center"/>
            </w:pPr>
            <w:r>
              <w:rPr>
                <w:sz w:val="17"/>
              </w:rPr>
              <w:t>0.9094</w:t>
            </w:r>
          </w:p>
        </w:tc>
        <w:tc>
          <w:tcPr>
            <w:tcW w:type="dxa" w:w="1440"/>
            <w:vAlign w:val="center"/>
          </w:tcPr>
          <w:p>
            <w:pPr>
              <w:spacing w:line="240" w:lineRule="auto" w:after="0"/>
              <w:jc w:val="center"/>
            </w:pPr>
            <w:r>
              <w:rPr>
                <w:sz w:val="17"/>
              </w:rPr>
              <w:t>0.7722</w:t>
            </w:r>
          </w:p>
        </w:tc>
        <w:tc>
          <w:tcPr>
            <w:tcW w:type="dxa" w:w="1440"/>
            <w:vAlign w:val="center"/>
          </w:tcPr>
          <w:p>
            <w:pPr>
              <w:spacing w:line="240" w:lineRule="auto" w:after="0"/>
              <w:jc w:val="center"/>
            </w:pPr>
            <w:r>
              <w:rPr>
                <w:sz w:val="17"/>
              </w:rPr>
              <w:t>0.6981</w:t>
            </w:r>
          </w:p>
        </w:tc>
      </w:tr>
      <w:tr>
        <w:tc>
          <w:tcPr>
            <w:tcW w:type="dxa" w:w="3744"/>
            <w:vAlign w:val="center"/>
          </w:tcPr>
          <w:p>
            <w:pPr>
              <w:spacing w:line="240" w:lineRule="auto" w:after="0"/>
              <w:jc w:val="left"/>
            </w:pPr>
            <w:r>
              <w:rPr>
                <w:sz w:val="17"/>
              </w:rPr>
              <w:t>stage14l_structured_mlp</w:t>
            </w:r>
          </w:p>
        </w:tc>
        <w:tc>
          <w:tcPr>
            <w:tcW w:type="dxa" w:w="1440"/>
            <w:vAlign w:val="center"/>
          </w:tcPr>
          <w:p>
            <w:pPr>
              <w:spacing w:line="240" w:lineRule="auto" w:after="0"/>
              <w:jc w:val="center"/>
            </w:pPr>
            <w:r>
              <w:rPr>
                <w:sz w:val="17"/>
              </w:rPr>
              <w:t>0.5704</w:t>
            </w:r>
          </w:p>
        </w:tc>
        <w:tc>
          <w:tcPr>
            <w:tcW w:type="dxa" w:w="1440"/>
            <w:vAlign w:val="center"/>
          </w:tcPr>
          <w:p>
            <w:pPr>
              <w:spacing w:line="240" w:lineRule="auto" w:after="0"/>
              <w:jc w:val="center"/>
            </w:pPr>
            <w:r>
              <w:rPr>
                <w:sz w:val="17"/>
              </w:rPr>
              <w:t>0.3045</w:t>
            </w:r>
          </w:p>
        </w:tc>
        <w:tc>
          <w:tcPr>
            <w:tcW w:type="dxa" w:w="1440"/>
            <w:vAlign w:val="center"/>
          </w:tcPr>
          <w:p>
            <w:pPr>
              <w:spacing w:line="240" w:lineRule="auto" w:after="0"/>
              <w:jc w:val="center"/>
            </w:pPr>
            <w:r>
              <w:rPr>
                <w:sz w:val="17"/>
              </w:rPr>
              <w:t>0.0000</w:t>
            </w:r>
          </w:p>
        </w:tc>
      </w:tr>
      <w:tr>
        <w:tc>
          <w:tcPr>
            <w:tcW w:type="dxa" w:w="3744"/>
            <w:vAlign w:val="center"/>
          </w:tcPr>
          <w:p>
            <w:pPr>
              <w:spacing w:line="240" w:lineRule="auto" w:after="0"/>
              <w:jc w:val="left"/>
            </w:pPr>
            <w:r>
              <w:rPr>
                <w:sz w:val="17"/>
              </w:rPr>
              <w:t>stage14l_fair_concat_mlp</w:t>
            </w:r>
          </w:p>
        </w:tc>
        <w:tc>
          <w:tcPr>
            <w:tcW w:type="dxa" w:w="1440"/>
            <w:vAlign w:val="center"/>
          </w:tcPr>
          <w:p>
            <w:pPr>
              <w:spacing w:line="240" w:lineRule="auto" w:after="0"/>
              <w:jc w:val="center"/>
            </w:pPr>
            <w:r>
              <w:rPr>
                <w:sz w:val="17"/>
              </w:rPr>
              <w:t>0.9097</w:t>
            </w:r>
          </w:p>
        </w:tc>
        <w:tc>
          <w:tcPr>
            <w:tcW w:type="dxa" w:w="1440"/>
            <w:vAlign w:val="center"/>
          </w:tcPr>
          <w:p>
            <w:pPr>
              <w:spacing w:line="240" w:lineRule="auto" w:after="0"/>
              <w:jc w:val="center"/>
            </w:pPr>
            <w:r>
              <w:rPr>
                <w:sz w:val="17"/>
              </w:rPr>
              <w:t>0.7731</w:t>
            </w:r>
          </w:p>
        </w:tc>
        <w:tc>
          <w:tcPr>
            <w:tcW w:type="dxa" w:w="1440"/>
            <w:vAlign w:val="center"/>
          </w:tcPr>
          <w:p>
            <w:pPr>
              <w:spacing w:line="240" w:lineRule="auto" w:after="0"/>
              <w:jc w:val="center"/>
            </w:pPr>
            <w:r>
              <w:rPr>
                <w:sz w:val="17"/>
              </w:rPr>
              <w:t>0.6938</w:t>
            </w:r>
          </w:p>
        </w:tc>
      </w:tr>
    </w:tbl>
    <w:p>
      <w:pPr>
        <w:spacing w:after="0" w:line="480" w:lineRule="auto"/>
      </w:pPr>
      <w:r>
        <w:t>Note. AP = average precision; AUROC = area under the receiver operating characteristic curve. structured-feature reproducibility audit was a reproducibility/feasibility audit, not an external multimodal validation result.</w:t>
      </w:r>
    </w:p>
    <w:p>
      <w:pPr>
        <w:keepNext/>
        <w:spacing w:line="480" w:lineRule="auto" w:after="0"/>
      </w:pPr>
      <w:r>
        <w:t>Table 6b Structured-feature reproducibility audit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0.000201</w:t>
            </w:r>
          </w:p>
        </w:tc>
      </w:tr>
      <w:tr>
        <w:tc>
          <w:tcPr>
            <w:tcW w:type="dxa" w:w="2448"/>
            <w:vAlign w:val="center"/>
          </w:tcPr>
          <w:p>
            <w:pPr>
              <w:spacing w:line="240" w:lineRule="auto" w:after="0"/>
              <w:jc w:val="left"/>
            </w:pPr>
            <w:r>
              <w:t>Chapman-Shaoxing-Ningbo</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0.000044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t>This study evaluated a reproducibility-aware decision-support framework for multimodal ECG diagnostic classification. The principal finding is that internal multimodal evidence and external multimodal validation can diverge when structured features are released for the internal dataset but cannot be reconstructed and joined externally with adequate fidelity and coverage. The full-schema PTB-XL/PTB-XL+ experiments supported modest internal multimodal complementarity, but the structured-feature reproducibility audit did not support external multimodal validation. This evidence-boundary result is the central contribution of the study.</w:t>
      </w:r>
    </w:p>
    <w:p>
      <w:pPr>
        <w:spacing w:line="480" w:lineRule="auto" w:after="0"/>
      </w:pPr>
      <w:r>
        <w:t>The internal full-schema results showed that released PTB-XL+ structured features added value beyond ECG signal embeddings under frozen PTB-XL splits. Paired bootstrap analysis supported the matched concat gain over both the signal-embedding MLP and the strong signal-only comparator for AUROC, AP, and F1. The effect size was modest, however: the AUROC gain over the signal-embedding comparator was less than one percentage point, while AP and F1 gains were larger but still incremental. This distinction between statistical support and practical magnitude is important for decision-support interpretation. Gated fusion was numerically close to matched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but modest internal modality complementarity.</w:t>
      </w:r>
    </w:p>
    <w:p>
      <w:pPr>
        <w:pStyle w:val="Heading2"/>
        <w:spacing w:line="480" w:lineRule="auto" w:after="0"/>
      </w:pPr>
      <w:r>
        <w:t>External validation and transportability</w:t>
      </w:r>
    </w:p>
    <w:p>
      <w:pPr>
        <w:spacing w:line="480" w:lineRule="auto" w:after="0"/>
      </w:pPr>
      <w:r>
        <w:t>The external evidence is intentionally limited to signal-only validation. CPSC2018 supported limited signal-level external transportability for the NORM/CD high-confidence label subset. Chapman-Shaoxing-Ningbo showed preserved ranking performance but weak AP and F1, especially in low-prevalence labels. The per-class diagnostic table supports this explanation: Chapman-Shaoxing-Ningbo MI had only 123 positive cases among 45,150 evaluated records, with prevalence 0.0027, AP 0.0796, and F1 0.0277. This pattern is consistent with label mapping constraints, prevalence differences, and transfer of thresholds selected on internal validation data. It also means that the Chapman-Shaoxing-Ningbo MI result should be interpreted primarily as a stress test of signal ranking under label shift, not as robust thresholded-performance evidence. The absence of external threshold tuning strengthens the evaluation protocol but also limits thresholded performance.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central finding</w:t>
      </w:r>
    </w:p>
    <w:p>
      <w:pPr>
        <w:spacing w:line="480" w:lineRule="auto" w:after="0"/>
      </w:pPr>
      <w:r>
        <w:t>The structured-feature reproducibility audit is a key BMC MIDM-compatible contribution because it shows why external multimodal claims are difficult in public multimodal ECG research. The audit found that a reproducibility-validated numerically concordant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unsupported external multimodal validation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Chapman-Shaoxing-Ningbo were necessarily incomplete, and very low-prevalence Chapman-Shaoxing-Ningbo labels should be treated as weak thresholded-performance evidence. Sixth, exact external reconstruction of PTB-XL+ structured features was not achieved. Seventh, bootstrap intervals and multiple diagnostic comparisons were reported descriptively without multiplicity correction. Eighth, decision-curve analysis was exploratory, internal, and threshold-dependent. Ninth,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diagnostic classification and demonstrates internal multimodal complementarity with signal-level external validation. Simple matched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external Chapman-Shaoxing-Ningbo ECG database used here is the PhysioNet large-scale 12-lead ECG database for arrhythmia study at https://physionet.org/content/ecg-arrhythmia/ with DOI https://doi.org/10.13026/wgex-er52.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Zheng J, Guo H, Chu H. A large scale 12-lead electrocardiogram database for arrhythmia study. PhysioNet. 2022. doi:10.13026/wgex-er52.</w:t>
      </w:r>
    </w:p>
    <w:p>
      <w:pPr>
        <w:spacing w:line="480" w:lineRule="auto" w:after="0"/>
      </w:pPr>
      <w:r>
        <w:t>16. He K, Zhang X, Ren S, Sun J. Deep residual learning for image recognition. Proceedings of the IEEE Conference on Computer Vision and Pattern Recognition. 2016:770–778.</w:t>
      </w:r>
    </w:p>
    <w:p>
      <w:pPr>
        <w:spacing w:line="480" w:lineRule="auto" w:after="0"/>
      </w:pPr>
      <w:r>
        <w:t>17. Selvaraju RR, Cogswell M, Das A, Vedantam R, Parikh D, Batra D. Grad-CAM: Visual explanations from deep networks via gradient-based localization. IEEE International Conference on Computer Vision. 2017:618–626.</w:t>
      </w:r>
    </w:p>
    <w:p>
      <w:pPr>
        <w:spacing w:line="480" w:lineRule="auto" w:after="0"/>
      </w:pPr>
      <w:r>
        <w:t>18. Ghassemi M, Oakden-Rayner L, Beam AL. The false hope of current approaches to explainable artificial intelligence in health care. The Lancet Digital Health. 2021;3:e745–e750. doi:10.1016/S2589-7500(21)00208-9.</w:t>
      </w:r>
    </w:p>
    <w:p>
      <w:pPr>
        <w:spacing w:line="480" w:lineRule="auto" w:after="0"/>
      </w:pPr>
      <w:r>
        <w:t>19. Efron B, Tibshirani RJ. An Introduction to the Bootstrap. Chapman and Hall/CRC. 1993.</w:t>
      </w:r>
    </w:p>
    <w:p>
      <w:pPr>
        <w:spacing w:line="480" w:lineRule="auto" w:after="0"/>
      </w:pPr>
      <w:r>
        <w:t>20. Collins GS, Moons KGM, Dhiman P, Riley RD, Beam AL, Van Calster B, et al. TRIPOD+AI statement: updated guidance for reporting clinical prediction models that use regression or machine learning methods. BMJ. 2024;385:e078378. doi:10.1136/bmj-2023-078378.</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fair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matched concat, and gated-fusion comparison. Panel A shows frozen-test AUROC, AP, and F1 across model groups. Panel B shows paired bootstrap deltas supporting matched concat gain over unimodal comparators. Panel C shows that gated fusion did not provide a statistically clear additional benefit over matched concat.</w:t>
      </w:r>
    </w:p>
    <w:p>
      <w:pPr>
        <w:spacing w:line="480" w:lineRule="auto" w:after="0"/>
      </w:pPr>
      <w:r>
        <w:t>Figure 3. External signal-only validation and Chapman-Shaoxing-Ningbo per-class diagnostic context. Panel A shows macro AUROC, AP, and F1 for CPSC2018 and Chapman-Shaoxing-Ningbo. Panel B shows Chapman-Shaoxing-Ningbo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Structured-feature reproducibility audit funnel. Panels show reduction from the released 531-column PTB-XL+ schema to the 138-feature numerically concordant subset, reduced-schema internal results, external structured-feature coverage, and the unsupported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Structured-feature reproducibility audit.</w:t>
      </w:r>
    </w:p>
    <w:p>
      <w:pPr>
        <w:pStyle w:val="ListBullet"/>
        <w:spacing w:line="480" w:lineRule="auto" w:after="0"/>
      </w:pPr>
      <w:r>
        <w:t>Supplementary Figure S1: Structured-feature reproducibility audit.</w:t>
      </w:r>
    </w:p>
    <w:p>
      <w:pPr>
        <w:pStyle w:val="ListBullet"/>
        <w:spacing w:line="480" w:lineRule="auto" w:after="0"/>
      </w:pPr>
      <w:r>
        <w:t>Supplementary Table S4: Uncertainty triage diagnostics.</w:t>
      </w:r>
    </w:p>
    <w:p>
      <w:pPr>
        <w:pStyle w:val="ListBullet"/>
        <w:spacing w:line="480" w:lineRule="auto" w:after="0"/>
      </w:pPr>
      <w:r>
        <w:t>Supplementary Table S5: Exploratory decision-curve analysis.</w:t>
      </w:r>
    </w:p>
    <w:p>
      <w:pPr>
        <w:pStyle w:val="ListBullet"/>
        <w:spacing w:line="480" w:lineRule="auto" w:after="0"/>
      </w:pPr>
      <w:r>
        <w:t>Supplementary Table S6: XAI case-selection and attribution audit.</w:t>
      </w:r>
    </w:p>
    <w:p>
      <w:pPr>
        <w:pStyle w:val="ListBullet"/>
        <w:spacing w:line="480" w:lineRule="auto" w:after="0"/>
      </w:pPr>
      <w:r>
        <w:t>Supplementary Table S7: TRIPOD+AI reporting checklist.</w:t>
      </w:r>
    </w:p>
    <w:p>
      <w:pPr>
        <w:pStyle w:val="ListBullet"/>
        <w:spacing w:line="480" w:lineRule="auto" w:after="0"/>
      </w:pPr>
      <w:r>
        <w:t>Supplementary Table S8: Internal per-superclass performance diagnostics.</w:t>
      </w:r>
    </w:p>
    <w:p>
      <w:pPr>
        <w:pStyle w:val="ListBullet"/>
        <w:spacing w:line="480" w:lineRule="auto" w:after="0"/>
      </w:pPr>
      <w:r>
        <w:t>Supplementary Table S9: External label-mapping audit.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matched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Chapman-Shaoxing-Ningbo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Structured-feature reproducibility audit funnel.</w:t>
      </w: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