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BMC MIDM Cover Letter Draft</w:t>
      </w:r>
    </w:p>
    <w:p>
      <w:r>
        <w:t>Dear Editors,</w:t>
      </w:r>
    </w:p>
    <w:p>
      <w:r>
        <w:t xml:space="preserve">We are pleased to submit our manuscript, </w:t>
      </w:r>
      <w:r>
        <w:rPr>
          <w:b/>
        </w:rPr>
        <w:t>"A Reproducibility-Aware Decision-Support Evaluation Framework for Multimodal ECG Risk Stratification,"</w:t>
      </w:r>
      <w:r>
        <w:t xml:space="preserve"> for consideration in </w:t>
      </w:r>
      <w:r>
        <w:rPr>
          <w:b/>
        </w:rPr>
        <w:t>BMC Medical Informatics and Decision Making</w:t>
      </w:r>
      <w:r>
        <w:t>.</w:t>
      </w:r>
    </w:p>
    <w:p>
      <w:r>
        <w:t>This study presents a conservative public-data evaluation framework for ECG-based cardiac risk stratification. Rather than focusing only on model discrimination, the manuscript evaluates internal multimodal performance together with calibration, uncertainty triage, post-hoc explainability, exploratory decision-curve analysis, signal-level external validation, and structured-feature reproducibility auditing. We believe this framing is well aligned with BMC Medical Informatics and Decision Making because it emphasizes transparent evidence boundaries for clinical decision-support modeling.</w:t>
      </w:r>
    </w:p>
    <w:p>
      <w:r>
        <w:t>The evidence boundary is explicit. PTB-XL/PTB-XL+ were used for internal multimodal evaluation. CPSC2018 and Chapman-Shaoxing were used for signal-only external validation. Stage 14L was treated as a structured-feature reproducibility and feasibility audit. The manuscript does not claim external multimodal validation.</w:t>
      </w:r>
    </w:p>
    <w:p>
      <w:r>
        <w:t>External validation was intentionally restricted to signal-only evaluation because external PTB-XL+ compatible structured-feature reconstruction was not validated with adequate coverage and fidelity. The study also makes no clinical readiness, clinical validation, or clinical deployment claim.</w:t>
      </w:r>
    </w:p>
    <w:p>
      <w:r>
        <w:t>This manuscript is original work, is not under consideration elsewhere, and has been approved for submission by all authors. The authors declare that they have no competing interests. The authors received no specific funding for this work.</w:t>
      </w:r>
    </w:p>
    <w:p>
      <w:r>
        <w:t>Sincerely,</w:t>
      </w:r>
    </w:p>
    <w:p>
      <w:r>
        <w:t>Yu Zhang, MD</w:t>
      </w:r>
    </w:p>
    <w:p>
      <w:r>
        <w:t>The Second Affiliated Hospital of Wenzhou Medical University, Wenzhou, Zhejiang, China</w:t>
      </w:r>
    </w:p>
    <w:p>
      <w:r>
        <w:t>Email: zhangyu1@wzhealth.com</w:t>
      </w:r>
    </w:p>
    <w:p>
      <w:r>
        <w:t>ORCID: 0000-0001-8579-3692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