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Arial" w:hAnsi="Arial"/>
          <w:b/>
          <w:i w:val="0"/>
          <w:color w:val="000000"/>
          <w:sz w:val="36"/>
        </w:rPr>
        <w:t>Cover letter</w:t>
      </w:r>
    </w:p>
    <w:p>
      <w:pPr>
        <w:spacing w:after="100" w:line="259" w:lineRule="auto"/>
      </w:pPr>
      <w:r>
        <w:rPr>
          <w:rFonts w:ascii="Arial" w:hAnsi="Arial"/>
          <w:b w:val="0"/>
          <w:i w:val="0"/>
          <w:color w:val="000000"/>
          <w:sz w:val="22"/>
        </w:rPr>
        <w:t>Dear Editors,</w:t>
      </w:r>
    </w:p>
    <w:p>
      <w:pPr>
        <w:spacing w:after="100" w:line="259" w:lineRule="auto"/>
      </w:pPr>
      <w:r>
        <w:rPr>
          <w:rFonts w:ascii="Arial" w:hAnsi="Arial"/>
          <w:b w:val="0"/>
          <w:i w:val="0"/>
          <w:color w:val="000000"/>
          <w:sz w:val="22"/>
        </w:rPr>
        <w:t xml:space="preserve">We submit “Human genetic evidence constrains causal interpretation of retinal traits in systemic disease” for consideration as an Original Article in </w:t>
      </w:r>
      <w:r>
        <w:rPr>
          <w:rFonts w:ascii="Arial" w:hAnsi="Arial"/>
          <w:b w:val="0"/>
          <w:i/>
          <w:color w:val="000000"/>
          <w:sz w:val="22"/>
        </w:rPr>
        <w:t>Human Molecular Genetics</w:t>
      </w:r>
      <w:r>
        <w:rPr>
          <w:rFonts w:ascii="Arial" w:hAnsi="Arial"/>
          <w:b w:val="0"/>
          <w:i w:val="0"/>
          <w:color w:val="000000"/>
          <w:sz w:val="22"/>
        </w:rPr>
        <w:t>.</w:t>
      </w:r>
    </w:p>
    <w:p>
      <w:pPr>
        <w:spacing w:after="100" w:line="259" w:lineRule="auto"/>
      </w:pPr>
      <w:r>
        <w:rPr>
          <w:rFonts w:ascii="Arial" w:hAnsi="Arial"/>
          <w:b w:val="0"/>
          <w:i w:val="0"/>
          <w:color w:val="000000"/>
          <w:sz w:val="22"/>
        </w:rPr>
        <w:t>This study evaluates 14 retinal imaging traits and eight systemic diseases across genome-wide genetic correlation, primary and sensitivity local genetic correlation, and bidirectional Mendelian randomization. None of 112 genome-wide pairs or 116,472 primary HDL-L block tests survived the relevant correction procedures. Native LAVA findings were sparse and predominantly boundary-sensitive. Directional analysis was prospectively restricted to seven structural OCT traits with verifiable source allele-frequency coding. Across 112 OCT-only directions, no association survived global false-discovery-rate correction.</w:t>
      </w:r>
    </w:p>
    <w:p>
      <w:pPr>
        <w:spacing w:after="100" w:line="259" w:lineRule="auto"/>
      </w:pPr>
      <w:r>
        <w:rPr>
          <w:rFonts w:ascii="Arial" w:hAnsi="Arial"/>
          <w:b w:val="0"/>
          <w:i w:val="0"/>
          <w:color w:val="000000"/>
          <w:sz w:val="22"/>
        </w:rPr>
        <w:t>As part of pre-submission quality control, seven retinal vascular GWAS releases were excluded from MR because source allele-frequency semantics could not be resolved authoritatively. These traits remained in the genome-wide and local-correlation analyses. This data-integrity restriction was formalized before OCT-only MR results were calculated, and the complete harmonisation and Amendment 004 records are included in the reproducibility package.</w:t>
      </w:r>
    </w:p>
    <w:p>
      <w:pPr>
        <w:spacing w:after="100" w:line="259" w:lineRule="auto"/>
      </w:pPr>
      <w:r>
        <w:rPr>
          <w:rFonts w:ascii="Arial" w:hAnsi="Arial"/>
          <w:b w:val="0"/>
          <w:i w:val="0"/>
          <w:color w:val="000000"/>
          <w:sz w:val="22"/>
        </w:rPr>
        <w:t>The manuscript has not been published and is not under consideration elsewhere. All authors have approved the manuscript and agree with its submission. There is no related preprint, thesis, conference abstract or overlapping manuscript. The authors declare no competing interests and received no specific funding for this work.</w:t>
      </w:r>
    </w:p>
    <w:p>
      <w:pPr>
        <w:spacing w:after="100" w:line="259" w:lineRule="auto"/>
      </w:pPr>
      <w:r>
        <w:rPr>
          <w:rFonts w:ascii="Arial" w:hAnsi="Arial"/>
          <w:b w:val="0"/>
          <w:i w:val="0"/>
          <w:color w:val="000000"/>
          <w:sz w:val="22"/>
        </w:rPr>
        <w:t>OpenAI Codex (model: GPT-5.6) and DeepSeek (model: V4 Flash) assisted with code writing, debugging, workflow orchestration, manuscript formatting and language editing under author direction. The analysis plan and thresholds were author-defined, all outputs were independently reviewed by the authors, and the authors take full responsibility for the work.</w:t>
      </w:r>
    </w:p>
    <w:p>
      <w:pPr>
        <w:spacing w:after="100" w:line="259" w:lineRule="auto"/>
      </w:pPr>
      <w:r>
        <w:rPr>
          <w:rFonts w:ascii="Arial" w:hAnsi="Arial"/>
          <w:b w:val="0"/>
          <w:i w:val="0"/>
          <w:color w:val="000000"/>
          <w:sz w:val="22"/>
        </w:rPr>
        <w:t>Thank you for considering our manuscript.</w:t>
      </w:r>
    </w:p>
    <w:p>
      <w:pPr>
        <w:spacing w:after="100" w:line="259" w:lineRule="auto"/>
      </w:pPr>
      <w:r>
        <w:rPr>
          <w:rFonts w:ascii="Arial" w:hAnsi="Arial"/>
          <w:b w:val="0"/>
          <w:i w:val="0"/>
          <w:color w:val="000000"/>
          <w:sz w:val="22"/>
        </w:rPr>
        <w:t>Sincerely,</w:t>
      </w:r>
    </w:p>
    <w:p>
      <w:pPr>
        <w:spacing w:after="100" w:line="259" w:lineRule="auto"/>
      </w:pPr>
      <w:r>
        <w:rPr>
          <w:rFonts w:ascii="Arial" w:hAnsi="Arial"/>
          <w:b w:val="0"/>
          <w:i w:val="0"/>
          <w:color w:val="000000"/>
          <w:sz w:val="22"/>
        </w:rPr>
        <w:t>Yu Zhang</w:t>
      </w:r>
    </w:p>
    <w:p>
      <w:pPr>
        <w:spacing w:after="100" w:line="259" w:lineRule="auto"/>
      </w:pPr>
      <w:r>
        <w:rPr>
          <w:rFonts w:ascii="Arial" w:hAnsi="Arial"/>
          <w:b w:val="0"/>
          <w:i w:val="0"/>
          <w:color w:val="000000"/>
          <w:sz w:val="22"/>
        </w:rPr>
        <w:t>Corresponding author</w:t>
      </w:r>
    </w:p>
    <w:p>
      <w:pPr>
        <w:spacing w:after="100" w:line="259" w:lineRule="auto"/>
      </w:pPr>
      <w:r>
        <w:rPr>
          <w:rFonts w:ascii="Arial" w:hAnsi="Arial"/>
          <w:b w:val="0"/>
          <w:i w:val="0"/>
          <w:color w:val="000000"/>
          <w:sz w:val="22"/>
        </w:rPr>
        <w:t>Department of Ophthalmology, The Second Affiliated Hospital of Wenzhou Medical University</w:t>
      </w:r>
    </w:p>
    <w:p>
      <w:pPr>
        <w:spacing w:after="100" w:line="259" w:lineRule="auto"/>
      </w:pPr>
      <w:r>
        <w:rPr>
          <w:rFonts w:ascii="Arial" w:hAnsi="Arial"/>
          <w:b w:val="0"/>
          <w:i w:val="0"/>
          <w:color w:val="000000"/>
          <w:sz w:val="22"/>
        </w:rPr>
        <w:t>zhangyu1@wzhealth.com</w:t>
      </w:r>
    </w:p>
    <w:p>
      <w:pPr>
        <w:spacing w:after="100" w:line="259" w:lineRule="auto"/>
      </w:pPr>
      <w:r>
        <w:rPr>
          <w:rFonts w:ascii="Arial" w:hAnsi="Arial"/>
          <w:b w:val="0"/>
          <w:i w:val="0"/>
          <w:color w:val="000000"/>
          <w:sz w:val="22"/>
        </w:rPr>
        <w:t>ORCID: https://orcid.org/0000-0001-8579-3692</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05050"/>
        <w:sz w:val="16"/>
      </w:rPr>
      <w:t>Human Molecular Genetics cover letter | Amendment 004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