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Round6 Discussion</w:t>
      </w:r>
    </w:p>
    <w:p>
      <w:r>
        <w:t>The principal finding is that the archived PDR prioritization result can be made interpretable only after separating candidate-universe reconstruction from evidence-layer interpretation. The frozen universe contained 430 genes and matched the frozen coverage matrix, whereas the broader v7 context table contained 691 genes. The focused set contained 17 genes and was reproduced from explicit archived rules rather than by taking a fixed top-17 truncation. All 17 genes were retained across the three alternative candidate-universe definitions, and their recomputed top-30 probabilities ranged from 0.538 to 0.993. However, excluding major evidence layers changed the top-30 composition, with Jaccard indices of 0.46 after scRNA exclusion, 0.46 after bulk exclusion and 0.20 after genetics/TWAS exclusion. The corresponding final-17 recoveries were 14, 13 and 7 genes. The focused set was stable to the three alternative candidate-universe definitions but not invariant to evidence-layer composition, indicating stability to universe construction rather than universal ranking robustness. Only 17/17 genes were evaluable in archived scRNA summaries, and no candidate met protein FDR&lt;0.05. These results should therefore be interpreted as an audited prioritization, not as an independent molecular validation study.</w:t>
      </w:r>
    </w:p>
    <w:p>
      <w:r>
        <w:t>The vascular and extracellular-matrix axis was the clearest biological theme among the prioritized genes. VWF, COL5A1, VCAN, FN1, SULF1, SPARC, COL1A2, COL11A1 and THY1 collectively point toward vascular activation, endothelial remodelling, extracellular-matrix deposition, fibrovascular membrane maturation and contractile fibrosis. This interpretation is consistent with PDR fibrovascular-membrane single-cell studies that describe endothelial, pericyte, myeloid and fibrotic stromal programs, including pericyte-to-myofibroblast-like transition and AEBP1-linked fibrogenesis [3,4]. It is also consistent with transcriptomic studies of PDR fibrovascular tissue reporting angiogenesis, fibrosis, lymphatic involvement and anti-VEGF escape mechanisms [5,7,8]. SPARC, collagen genes, FN1 and VCAN should not be read as independent causal proof for each gene. Rather, their joint prioritization suggests pathway-level concordance with fibrotic and wound-healing biology in end-stage membranes. The prominence of extracellular-matrix genes may reflect both authentic fibrotic biology and the cellular composition of surgically excised end-stage membranes.</w:t>
      </w:r>
    </w:p>
    <w:p>
      <w:r>
        <w:t>A second axis involved myeloid, inflammatory and complement biology. ALOX5AP, CTSB and MSR1 are most appropriately interpreted as inflammatory or myeloid-context candidates, while CFH links the focused set to complement biology and genetic-background annotation. PDR fibrovascular-membrane scRNA-seq has emphasized microglia/macrophage states and their interaction with fibrotic and angiogenic tissue compartments [3]. Recent PDR studies also support macrophage polarization, ferroptosis-related immune infiltration, endothelial-mesenchymal transition and inflammatory signalling as disease-relevant programs [10,11]. Vitreous and pathway-level studies provide additional support for complement activation and complement-coagulation proteins in diabetic retinopathy and vitreoretinal disease [12,13,15]. These comparisons support biological concordance at the pathway level. They do not constitute independent gene-level validation for ALOX5AP, CTSB, MSR1 or CFH.</w:t>
      </w:r>
    </w:p>
    <w:p>
      <w:r>
        <w:t>The apparent differences among scRNA, bulk and protein evidence are expected because these layers answer different biological questions. The archived scRNA summaries localize expression to lesion cell compartments but do not provide a complete case-control differential-expression test for all candidates. The 12 scRNA-unevaluable genes should therefore be treated as missing, not negative. Bulk transcriptomic evidence captures tissue-level case-control changes, but it is influenced by cell composition, tissue source, platform, disease stage and control selection. Because bulk evidence participated in the ranking, it provides cross-dataset support within the prioritization system rather than an independent validation layer. Protein data measure different biological compartments, including aqueous humor, vitreous humor and tissue-adjacent fluids, which are shaped by blood-retinal barrier breakdown, leakage, hemorrhage and inflammation [14-17]. The absence of FDR-supported protein findings limits cross-omic confirmation but does not necessarily contradict transcriptomic prioritization because the available protein data sampled different biological compartments and had limited candidate-level coverage.</w:t>
      </w:r>
    </w:p>
    <w:p>
      <w:r>
        <w:t>Compared with common public-data integration studies, the present work has a narrower but more explicit objective. It does not build a clinical prediction model, merge healthy retina and end-stage fibrovascular membranes as if they were interchangeable PDR mechanisms, or treat every evidence source as a validation score. Recent DR and PDR studies have used single-cell data, machine learning, transcriptome-wide association, proteomic profiling or multi-omics integration to identify biomarkers and candidate targets [17,23,32]. Those designs are valuable for discovery, but they often give less attention to missingness, evidence-source dependence and the boundary between ranking input and contextual annotation. The contribution here is not a new end-to-end discovery algorithm, but an explicit audit of how evidence availability, candidate-universe construction and evidence-layer composition influence a frozen public-data prioritization result.</w:t>
      </w:r>
    </w:p>
    <w:p>
      <w:r>
        <w:t>The genetics, TWAS and retinal regulatory components require particularly cautious interpretation. Nearest-gene assignment does not identify a causal gene, gene-window overlap may include several genes, and TWAS associations can reflect linkage disequilibrium, co-regulated expression or model-coverage constraints [18-22]. Retinal eQTL annotation is useful because it is tissue relevant, but gene-level eQTL evidence cannot substitute for allele-harmonized colocalization. The lack of per-SNP retinal eQTL beta, standard-error and allele information was the main barrier to formal colocalization. The pronounced rank changes after removal of genetics/TWAS indicate that part of the focused set was prioritized through cross-layer convergence rather than transcriptomic evidence alone. CFH therefore has a stronger genetic-context signal than many other focused genes, but it should not be described as causal. CDH6 and FRMD4A remained secondary genetics-prioritized candidates, yet they did not enter the focused 17-gene set because they failed the full archived rule combination.</w:t>
      </w:r>
    </w:p>
    <w:p>
      <w:r>
        <w:t>Therapeutic-context results should be read as hypothesis-generating annotation, not as drug repurposing evidence. Fenofibrate functioned as a positive-control retinal and metabolic context because randomized clinical evidence links it to slower diabetic-retinopathy progression or reduced laser-treatment need [26,27]. This does not imply that the focused genes mediate fenofibrate benefit. Multi-kinase inhibitors such as sorafenib, vandetanib, axitinib and dasatinib are better viewed as pleiotropic mechanistic probes of angiogenic target connectivity. Axitinib has retinal endothelial and neovascularization evidence in experimental settings, but multi-target kinase inhibition raises unresolved issues of target direction, ocular exposure, toxicity and delivery [28,29]. Dipyridamole, pentoxifylline and sirolimus are directionally plausible but unvalidated contexts. For pentoxifylline, systematic and observational evidence illustrates uncertainty rather than readiness for PDR therapy [30,31]. Across all drug annotations, the appropriate terms are therapeutic context, mechanistic probe and hypothesis-generating connection.</w:t>
      </w:r>
    </w:p>
    <w:p>
      <w:r>
        <w:t>The main strengths of this work are methodological transparency rather than clinical validation. The analysis reconstructed the frozen universe, preserved missing values, applied an explicit focused-set rule, separated ranking and contextual layers, tested multiple universe definitions, recomputed Dirichlet weight perturbation, performed layer-exclusion analysis, reported protein-negative results and defined the colocalization feasibility boundary. The same features also clarify the limitations. The upstream reduction from broader candidate lists to the frozen 430-gene universe was not fully recoverable, and the 17-gene rule was retrospective rather than preregistered. No fully independent molecular hold-out dataset was available. scRNA coverage was limited to five focused genes, bulk data were part of the ranking, protein evidence was FDR nonsignificant, per-SNP retinal eQTL statistics were unavailable, and drug context lacked directionality and safety validation. The use of surgically excised PDR fibrovascular membranes also biases interpretation toward end-stage neovascular and fibrotic tissue. Clinical variables, treatment history and same-patient OCTA features were not matched to molecular profiles.</w:t>
      </w:r>
    </w:p>
    <w:p>
      <w:r>
        <w:t>A practical validation roadmap should now move in tiers. First, independent PDR fibrovascular-membrane cohorts should test protein localization by immunohistochemistry, multiplex immunofluorescence or spatial transcriptomics using endothelial, myeloid, pericyte and fibroblast markers. Second, retinal endothelial cells, pericytes, macrophage-like or microglia-like cells and fibroblast/myofibroblast-like cells should be used for knockdown, CRISPR or overexpression assays measuring angiogenesis, migration, barrier function, inflammatory response, collagen deposition and contraction, following the logic of retinal angiogenesis studies that moved from candidate nomination to functional testing [9]. Third, genetic validation will require per-SNP retinal eQTL, allele harmonization, colocalization, fine mapping, conditional analysis and independent TWAS models. Fourth, clinical translation will require same-patient fibrovascular-membrane, aqueous or vitreous sampling linked to OCTA vessel density, non-perfusion, neovascular area, membrane fibrosis, treatment history and postoperative recurrence. Finally, therapeutic-context hypotheses require target-direction, dose-response, ocular-delivery, retinal-toxicity and candidate-specific rescue experiments before any treatment claim is justified.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