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Retrospective multi-source evidence audit and candidate prioritization in proliferative diabetic retinopathy</w:t>
      </w:r>
    </w:p>
    <w:p>
      <w:r>
        <w:rPr>
          <w:rFonts w:ascii="Arial" w:hAnsi="Arial"/>
          <w:sz w:val="20"/>
        </w:rPr>
        <w:t>Yi Zha1, Da Lin1, Ying Chen2, Yue Liu2, Yu Zhang1,*</w:t>
        <w:br/>
        <w:t>1 The Second Affiliated Hospital of Wenzhou Medical University, Wenzhou, Zhejiang, China.</w:t>
        <w:br/>
        <w:t>2 Wenzhou Medical University, Wenzhou, Zhejiang, China.</w:t>
        <w:br/>
        <w:t>*Correspondence: Yu Zhang, The Second Affiliated Hospital of Wenzhou Medical University, Wenzhou, Zhejiang, China. Email: zhangyu1@wzhealth.com. ORCID: 0000-0001-8579-3692.</w:t>
      </w:r>
    </w:p>
    <w:p>
      <w:pPr>
        <w:pStyle w:val="Heading1"/>
      </w:pPr>
      <w:r>
        <w:t>Abstract</w:t>
      </w:r>
    </w:p>
    <w:p>
      <w:r>
        <w:t>Background: Public molecular resources for proliferative diabetic retinopathy (PDR) are heterogeneous, and candidate rankings may be affected by missing evidence, tissue compartment and candidate-universe definition. We performed a retrospective evidence audit and secondary prioritization of a frozen project-defined PDR candidate universe.</w:t>
      </w:r>
    </w:p>
    <w:p>
      <w:r>
        <w:t>Methods: We reconstructed the 430-gene frozen universe from archived primary-ranking outputs, recomputed Monte Carlo diagnostics using Dirichlet(1,1,1,1) layer-weight perturbation, audited major-layer exclusion and separated ranking inputs from contextual annotation layers.</w:t>
      </w:r>
    </w:p>
    <w:p>
      <w:r>
        <w:t>Results: The reconstructed universe matched the frozen coverage matrix for all 430 genes. A focused 17-gene set was reproduced from explicit archived rules rather than a fixed top-17 truncation. The set was stable across alternative universe definitions, but top-30 composition changed after layer exclusion, especially after genetics/TWAS removal. Vascular-matrix and myeloid/complement axes provided the strongest biological context. Only 5/17 genes were evaluable in archived scRNA summaries, no candidate met protein FDR&lt;0.05, and drug evidence was retained only as therapeutic context.</w:t>
      </w:r>
    </w:p>
    <w:p>
      <w:r>
        <w:t>Conclusions: The study provides an auditable secondary prioritization of a fixed PDR candidate universe. Findings support follow-up tissue, cellular, genetic and imaging-linked validation but do not establish causal genes, clinical biomarkers or treatment-ready interventions.</w:t>
      </w:r>
    </w:p>
    <w:p>
      <w:pPr>
        <w:pStyle w:val="Heading1"/>
      </w:pPr>
      <w:r>
        <w:t>Keywords</w:t>
      </w:r>
    </w:p>
    <w:p>
      <w:r>
        <w:t>proliferative diabetic retinopathy; frozen candidate universe; fibrovascular membrane; scRNA-seq; TWAS; proteomics; therapeutic context</w:t>
      </w:r>
    </w:p>
    <w:p>
      <w:pPr>
        <w:pStyle w:val="Heading1"/>
      </w:pPr>
      <w:r>
        <w:t>Background</w:t>
      </w:r>
    </w:p>
    <w:p>
      <w:r>
        <w:t>Proliferative diabetic retinopathy (PDR) is characterized by retinal ischemia, neovascularization, inflammation and fibrovascular membrane formation. Public single-cell, bulk transcriptomic, proteomic, genetic and imaging resources have helped describe these processes, including PDR fibrovascular-membrane cell states, matrix remodelling, vitreous or aqueous inflammatory proteins and retinal microvascular changes [1-8,14-17,24,25].</w:t>
      </w:r>
    </w:p>
    <w:p>
      <w:r>
        <w:t>Existing public-data studies in PDR have primarily focused on differential expression, cell-state characterization, pathway enrichment, prediction-model development or therapeutic-target nomination [3-7,17,23,32]. Less attention has been paid to whether candidate rankings remain stable under evidence missingness, alternative candidate-universe definitions and separation of ranking inputs from contextual annotations. This gap matters because PDR public datasets differ in tissue compartment, platform, disease stage and sample availability, and a simple summed validation score can obscure whether a result is driven by biology, coverage or modelling choices.</w:t>
      </w:r>
    </w:p>
    <w:p>
      <w:r>
        <w:t>The present study therefore does not claim a de novo end-to-end candidate-generation pipeline. We performed a retrospective evidence audit and secondary prioritization of a frozen project-defined 430-gene PDR candidate universe. The analysis explicitly reconstructed the candidate universe, reproduced the focused 17-gene set from archived rules, separated ranking inputs from contextual annotation layers and tested sensitivity to evidence-layer exclusion.</w:t>
      </w:r>
    </w:p>
    <w:p>
      <w:pPr>
        <w:pStyle w:val="Heading1"/>
      </w:pPr>
      <w:r>
        <w:t>Methods</w:t>
      </w:r>
    </w:p>
    <w:p>
      <w:r>
        <w:t>Study design: This was a public-data secondary analysis. The final candidate universe was fixed at 430 genes reconstructed from results/ranking/primary_rank_average_ties.csv and checksum-tracked in Round5 outputs.</w:t>
      </w:r>
    </w:p>
    <w:p>
      <w:r>
        <w:t>Candidate universe reconstruction: The reconstructed 430-gene list was compared with the frozen evidence coverage matrix. The larger 691-gene v7 context table was recorded as an earlier project table, but the exact upstream rule reducing broader exports to the 430-gene primary-ranking universe was not fully reconstructable.</w:t>
      </w:r>
    </w:p>
    <w:p>
      <w:r>
        <w:t>Ranking reconstruction: Four primary score layers were used: scRNA, bulk, FinnGen and TWAS. For gene i and layer j, s_ij = 1 - ((rank_ij - 1) / 430). Monte Carlo diagnostics sampled w from Dirichlet(1,1,1,1) with seed 20260716 and ranked genes by S_i = sum_j w_j s_ij over the fixed 430-gene universe.</w:t>
      </w:r>
    </w:p>
    <w:p>
      <w:r>
        <w:t>Definition of the focused prioritized set: A gene entered the focused set if archived outputs showed top-30 probability &gt;=0.50, median rank &lt;=30, primary transcriptomic context, FinnGen or retina TWAS support, no MHC/TWAS caution flag, and observed/null top-30 enrichment ratio &gt;1.5 in the final bridge output. The set is not described as preregistered.</w:t>
      </w:r>
    </w:p>
    <w:p>
      <w:r>
        <w:t>Evidence boundaries: FinnGen nearest-gene and window evidence were treated as locus annotation, TWAS as endpoint-level association, retinal eQTL as gene-level annotation only, protein as quantitative context because no candidate met FDR&lt;0.05, and drug-target evidence as database context. False-discovery-rate language follows the Benjamini-Hochberg framework [33].</w:t>
      </w:r>
    </w:p>
    <w:p>
      <w:pPr>
        <w:pStyle w:val="Heading1"/>
      </w:pPr>
      <w:r>
        <w:t>Results</w:t>
      </w:r>
    </w:p>
    <w:p>
      <w:r>
        <w:t>The 430-gene universe was reconstructed from archived primary-ranking outputs and exactly matched the frozen coverage matrix. The 691-gene v7 context table remained an upstream broader project table, not the final Round5 ranking universe (Figure 1).</w:t>
      </w:r>
    </w:p>
    <w:p>
      <w:r>
        <w:t>The focused 17-gene set was reproduced from explicit archived rules rather than a fixed top-17 truncation. All 17 genes were retained across the three candidate-universe definitions, but layer-exclusion diagnostics showed sensitivity to evidence composition, especially when genetics/TWAS was removed (Figure 1 and Figure 3).</w:t>
      </w:r>
    </w:p>
    <w:p>
      <w:r>
        <w:t>Archived scRNA summaries allowed descriptive localization for five focused genes and left 12 genes unevaluable in that layer. Bulk evidence is summarized by direction, FDR status and leave-one-dataset-out concordance in Table 2 and Figure 2.</w:t>
      </w:r>
    </w:p>
    <w:p>
      <w:r>
        <w:t>FinnGen, TWAS, retinal eQTL, protein and drug-target layers were reclassified to avoid causal or therapeutic overstatement. No candidate met protein FDR&lt;0.05. The structural permutation diagnostic was moved out of the main figure set and retained only as a supplementary/internal diagnostic.</w:t>
      </w:r>
    </w:p>
    <w:p>
      <w:pPr>
        <w:pStyle w:val="Heading1"/>
      </w:pPr>
      <w:r>
        <w:t>Discussion</w:t>
      </w:r>
    </w:p>
    <w:p>
      <w:r>
        <w:t>The principal finding is that the archived PDR prioritization result can be made interpretable only after separating candidate-universe reconstruction from evidence-layer interpretation. The frozen universe contained 430 genes and matched the frozen coverage matrix, whereas the broader v7 context table contained 691 genes. The focused set contained 17 genes and was reproduced from explicit archived rules rather than by taking a fixed top-17 truncation. All 17 genes were retained across the three alternative candidate-universe definitions, and their recomputed top-30 probabilities ranged from 0.538 to 0.993. However, excluding major evidence layers changed the top-30 composition, with Jaccard indices of 0.46 after scRNA exclusion, 0.46 after bulk exclusion and 0.20 after genetics/TWAS exclusion. The corresponding final-17 recoveries were 14, 13 and 7 genes. The focused set was stable to the three alternative candidate-universe definitions but not invariant to evidence-layer composition, indicating stability to universe construction rather than universal ranking robustness. Only 17/17 genes were evaluable in archived scRNA summaries, and no candidate met protein FDR&lt;0.05. These results should therefore be interpreted as an audited prioritization, not as an independent molecular validation study.</w:t>
      </w:r>
    </w:p>
    <w:p>
      <w:r>
        <w:t>The vascular and extracellular-matrix axis was the clearest biological theme among the prioritized genes. VWF, COL5A1, VCAN, FN1, SULF1, SPARC, COL1A2, COL11A1 and THY1 collectively point toward vascular activation, endothelial remodelling, extracellular-matrix deposition, fibrovascular membrane maturation and contractile fibrosis. This interpretation is consistent with PDR fibrovascular-membrane single-cell studies that describe endothelial, pericyte, myeloid and fibrotic stromal programs, including pericyte-to-myofibroblast-like transition and AEBP1-linked fibrogenesis [3,4]. It is also consistent with transcriptomic studies of PDR fibrovascular tissue reporting angiogenesis, fibrosis, lymphatic involvement and anti-VEGF escape mechanisms [5,7,8]. SPARC, collagen genes, FN1 and VCAN should not be read as independent causal proof for each gene. Rather, their joint prioritization suggests pathway-level concordance with fibrotic and wound-healing biology in end-stage membranes. The prominence of extracellular-matrix genes may reflect both authentic fibrotic biology and the cellular composition of surgically excised end-stage membranes.</w:t>
      </w:r>
    </w:p>
    <w:p>
      <w:r>
        <w:t>A second axis involved myeloid, inflammatory and complement biology. ALOX5AP, CTSB and MSR1 are most appropriately interpreted as inflammatory or myeloid-context candidates, while CFH links the focused set to complement biology and genetic-background annotation. PDR fibrovascular-membrane scRNA-seq has emphasized microglia/macrophage states and their interaction with fibrotic and angiogenic tissue compartments [3]. Recent PDR studies also support macrophage polarization, ferroptosis-related immune infiltration, endothelial-mesenchymal transition and inflammatory signalling as disease-relevant programs [10,11]. Vitreous and pathway-level studies provide additional support for complement activation and complement-coagulation proteins in diabetic retinopathy and vitreoretinal disease [12,13,15]. These comparisons support biological concordance at the pathway level. They do not constitute independent gene-level validation for ALOX5AP, CTSB, MSR1 or CFH.</w:t>
      </w:r>
    </w:p>
    <w:p>
      <w:r>
        <w:t>The apparent differences among scRNA, bulk and protein evidence are expected because these layers answer different biological questions. The archived scRNA summaries localize expression to lesion cell compartments but do not provide a complete case-control differential-expression test for all candidates. The 12 scRNA-unevaluable genes should therefore be treated as missing, not negative. Bulk transcriptomic evidence captures tissue-level case-control changes, but it is influenced by cell composition, tissue source, platform, disease stage and control selection. Because bulk evidence participated in the ranking, it provides cross-dataset support within the prioritization system rather than an independent validation layer. Protein data measure different biological compartments, including aqueous humor, vitreous humor and tissue-adjacent fluids, which are shaped by blood-retinal barrier breakdown, leakage, hemorrhage and inflammation [14-17]. The absence of FDR-supported protein findings limits cross-omic confirmation but does not necessarily contradict transcriptomic prioritization because the available protein data sampled different biological compartments and had limited candidate-level coverage.</w:t>
      </w:r>
    </w:p>
    <w:p>
      <w:r>
        <w:t>Compared with common public-data integration studies, the present work has a narrower but more explicit objective. It does not build a clinical prediction model, merge healthy retina and end-stage fibrovascular membranes as if they were interchangeable PDR mechanisms, or treat every evidence source as a validation score. Recent DR and PDR studies have used single-cell data, machine learning, transcriptome-wide association, proteomic profiling or multi-omics integration to identify biomarkers and candidate targets [17,23,32]. Those designs are valuable for discovery, but they often give less attention to missingness, evidence-source dependence and the boundary between ranking input and contextual annotation. The contribution here is not a new end-to-end discovery algorithm, but an explicit audit of how evidence availability, candidate-universe construction and evidence-layer composition influence a frozen public-data prioritization result.</w:t>
      </w:r>
    </w:p>
    <w:p>
      <w:r>
        <w:t>The genetics, TWAS and retinal regulatory components require particularly cautious interpretation. Nearest-gene assignment does not identify a causal gene, gene-window overlap may include several genes, and TWAS associations can reflect linkage disequilibrium, co-regulated expression or model-coverage constraints [18-22]. Retinal eQTL annotation is useful because it is tissue relevant, but gene-level eQTL evidence cannot substitute for allele-harmonized colocalization. The lack of per-SNP retinal eQTL beta, standard-error and allele information was the main barrier to formal colocalization. The pronounced rank changes after removal of genetics/TWAS indicate that part of the focused set was prioritized through cross-layer convergence rather than transcriptomic evidence alone. CFH therefore has a stronger genetic-context signal than many other focused genes, but it should not be described as causal. CDH6 and FRMD4A remained secondary genetics-prioritized candidates, yet they did not enter the focused 17-gene set because they failed the full archived rule combination.</w:t>
      </w:r>
    </w:p>
    <w:p>
      <w:r>
        <w:t>Therapeutic-context results should be read as hypothesis-generating annotation, not as drug repurposing evidence. Fenofibrate functioned as a positive-control retinal and metabolic context because randomized clinical evidence links it to slower diabetic-retinopathy progression or reduced laser-treatment need [26,27]. This does not imply that the focused genes mediate fenofibrate benefit. Multi-kinase inhibitors such as sorafenib, vandetanib, axitinib and dasatinib are better viewed as pleiotropic mechanistic probes of angiogenic target connectivity. Axitinib has retinal endothelial and neovascularization evidence in experimental settings, but multi-target kinase inhibition raises unresolved issues of target direction, ocular exposure, toxicity and delivery [28,29]. Dipyridamole, pentoxifylline and sirolimus are directionally plausible but unvalidated contexts. For pentoxifylline, systematic and observational evidence illustrates uncertainty rather than readiness for PDR therapy [30,31]. Across all drug annotations, the appropriate terms are therapeutic context, mechanistic probe and hypothesis-generating connection.</w:t>
      </w:r>
    </w:p>
    <w:p>
      <w:r>
        <w:t>The main strengths of this work are methodological transparency rather than clinical validation. The analysis reconstructed the frozen universe, preserved missing values, applied an explicit focused-set rule, separated ranking and contextual layers, tested multiple universe definitions, recomputed Dirichlet weight perturbation, performed layer-exclusion analysis, reported protein-negative results and defined the colocalization feasibility boundary. The same features also clarify the limitations. The upstream reduction from broader candidate lists to the frozen 430-gene universe was not fully recoverable, and the 17-gene rule was retrospective rather than preregistered. No fully independent molecular hold-out dataset was available. scRNA coverage was limited to five focused genes, bulk data were part of the ranking, protein evidence was FDR nonsignificant, per-SNP retinal eQTL statistics were unavailable, and drug context lacked directionality and safety validation. The use of surgically excised PDR fibrovascular membranes also biases interpretation toward end-stage neovascular and fibrotic tissue. Clinical variables, treatment history and same-patient OCTA features were not matched to molecular profiles.</w:t>
      </w:r>
    </w:p>
    <w:p>
      <w:r>
        <w:t>A practical validation roadmap should now move in tiers. First, independent PDR fibrovascular-membrane cohorts should test protein localization by immunohistochemistry, multiplex immunofluorescence or spatial transcriptomics using endothelial, myeloid, pericyte and fibroblast markers. Second, retinal endothelial cells, pericytes, macrophage-like or microglia-like cells and fibroblast/myofibroblast-like cells should be used for knockdown, CRISPR or overexpression assays measuring angiogenesis, migration, barrier function, inflammatory response, collagen deposition and contraction, following the logic of retinal angiogenesis studies that moved from candidate nomination to functional testing [9]. Third, genetic validation will require per-SNP retinal eQTL, allele harmonization, colocalization, fine mapping, conditional analysis and independent TWAS models. Fourth, clinical translation will require same-patient fibrovascular-membrane, aqueous or vitreous sampling linked to OCTA vessel density, non-perfusion, neovascular area, membrane fibrosis, treatment history and postoperative recurrence. Finally, therapeutic-context hypotheses require target-direction, dose-response, ocular-delivery, retinal-toxicity and candidate-specific rescue experiments before any treatment claim is justified.</w:t>
      </w:r>
    </w:p>
    <w:p>
      <w:pPr>
        <w:pStyle w:val="Heading1"/>
      </w:pPr>
      <w:r>
        <w:t>Conclusions</w:t>
      </w:r>
    </w:p>
    <w:p>
      <w:r>
        <w:t>This study reconstructed and audited a frozen 430-gene PDR candidate universe and reproduced a focused 17-gene set from explicit archived rules. The findings are most consistent with vascular-matrix and myeloid/complement biological contexts, but they remain sensitive to evidence-layer composition and lack independent molecular validation. Future work should test candidate localization, function, genetic colocalization and same-patient imaging-molecular associations before clinical or therapeutic use is inferred.</w:t>
      </w:r>
    </w:p>
    <w:p>
      <w:pPr>
        <w:pStyle w:val="Heading1"/>
      </w:pPr>
      <w:r>
        <w:t>Tables</w:t>
      </w:r>
    </w:p>
    <w:p>
      <w:r>
        <w:rPr>
          <w:b/>
        </w:rPr>
        <w:t>Table 1. Core public resources and corrected analytical roles. Full audit is provided in Supplementary Table S1.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Resource group</w:t>
            </w:r>
          </w:p>
        </w:tc>
        <w:tc>
          <w:tcPr>
            <w:tcW w:type="dxa" w:w="2160"/>
          </w:tcPr>
          <w:p>
            <w:r>
              <w:rPr>
                <w:b/>
              </w:rPr>
              <w:t>Examples</w:t>
            </w:r>
          </w:p>
        </w:tc>
        <w:tc>
          <w:tcPr>
            <w:tcW w:type="dxa" w:w="2160"/>
          </w:tcPr>
          <w:p>
            <w:r>
              <w:rPr>
                <w:b/>
              </w:rPr>
              <w:t>Round6 role</w:t>
            </w:r>
          </w:p>
        </w:tc>
        <w:tc>
          <w:tcPr>
            <w:tcW w:type="dxa" w:w="2160"/>
          </w:tcPr>
          <w:p>
            <w:r>
              <w:rPr>
                <w:b/>
              </w:rPr>
              <w:t>Boundary</w:t>
            </w:r>
          </w:p>
        </w:tc>
      </w:tr>
      <w:tr>
        <w:tc>
          <w:tcPr>
            <w:tcW w:type="dxa" w:w="2160"/>
          </w:tcPr>
          <w:p>
            <w:r>
              <w:t>PDR FVM scRNA-seq</w:t>
            </w:r>
          </w:p>
        </w:tc>
        <w:tc>
          <w:tcPr>
            <w:tcW w:type="dxa" w:w="2160"/>
          </w:tcPr>
          <w:p>
            <w:r>
              <w:t>GSE165784; GSE245561</w:t>
            </w:r>
          </w:p>
        </w:tc>
        <w:tc>
          <w:tcPr>
            <w:tcW w:type="dxa" w:w="2160"/>
          </w:tcPr>
          <w:p>
            <w:r>
              <w:t>Ranking/context</w:t>
            </w:r>
          </w:p>
        </w:tc>
        <w:tc>
          <w:tcPr>
            <w:tcW w:type="dxa" w:w="2160"/>
          </w:tcPr>
          <w:p>
            <w:r>
              <w:t>lesion-compartment summaries; missing genes not negative</w:t>
            </w:r>
          </w:p>
        </w:tc>
      </w:tr>
      <w:tr>
        <w:tc>
          <w:tcPr>
            <w:tcW w:type="dxa" w:w="2160"/>
          </w:tcPr>
          <w:p>
            <w:r>
              <w:t>Bulk transcriptomics</w:t>
            </w:r>
          </w:p>
        </w:tc>
        <w:tc>
          <w:tcPr>
            <w:tcW w:type="dxa" w:w="2160"/>
          </w:tcPr>
          <w:p>
            <w:r>
              <w:t>GSE102485; GSE60436; GSE94019; GSE160306/10</w:t>
            </w:r>
          </w:p>
        </w:tc>
        <w:tc>
          <w:tcPr>
            <w:tcW w:type="dxa" w:w="2160"/>
          </w:tcPr>
          <w:p>
            <w:r>
              <w:t>Ranking support</w:t>
            </w:r>
          </w:p>
        </w:tc>
        <w:tc>
          <w:tcPr>
            <w:tcW w:type="dxa" w:w="2160"/>
          </w:tcPr>
          <w:p>
            <w:r>
              <w:t>not independent validation because used in ranking</w:t>
            </w:r>
          </w:p>
        </w:tc>
      </w:tr>
      <w:tr>
        <w:tc>
          <w:tcPr>
            <w:tcW w:type="dxa" w:w="2160"/>
          </w:tcPr>
          <w:p>
            <w:r>
              <w:t>FinnGen DR endpoints</w:t>
            </w:r>
          </w:p>
        </w:tc>
        <w:tc>
          <w:tcPr>
            <w:tcW w:type="dxa" w:w="2160"/>
          </w:tcPr>
          <w:p>
            <w:r>
              <w:t>FinnGen R13</w:t>
            </w:r>
          </w:p>
        </w:tc>
        <w:tc>
          <w:tcPr>
            <w:tcW w:type="dxa" w:w="2160"/>
          </w:tcPr>
          <w:p>
            <w:r>
              <w:t>Genetic context</w:t>
            </w:r>
          </w:p>
        </w:tc>
        <w:tc>
          <w:tcPr>
            <w:tcW w:type="dxa" w:w="2160"/>
          </w:tcPr>
          <w:p>
            <w:r>
              <w:t>nearest/window evidence is not causal assignment</w:t>
            </w:r>
          </w:p>
        </w:tc>
      </w:tr>
      <w:tr>
        <w:tc>
          <w:tcPr>
            <w:tcW w:type="dxa" w:w="2160"/>
          </w:tcPr>
          <w:p>
            <w:r>
              <w:t>Retina TWAS/eQTL</w:t>
            </w:r>
          </w:p>
        </w:tc>
        <w:tc>
          <w:tcPr>
            <w:tcW w:type="dxa" w:w="2160"/>
          </w:tcPr>
          <w:p>
            <w:r>
              <w:t>EyeGEx/retinal eQTL resources</w:t>
            </w:r>
          </w:p>
        </w:tc>
        <w:tc>
          <w:tcPr>
            <w:tcW w:type="dxa" w:w="2160"/>
          </w:tcPr>
          <w:p>
            <w:r>
              <w:t>Regulatory context</w:t>
            </w:r>
          </w:p>
        </w:tc>
        <w:tc>
          <w:tcPr>
            <w:tcW w:type="dxa" w:w="2160"/>
          </w:tcPr>
          <w:p>
            <w:r>
              <w:t>no formal colocalization without per-SNP retinal eQTL</w:t>
            </w:r>
          </w:p>
        </w:tc>
      </w:tr>
      <w:tr>
        <w:tc>
          <w:tcPr>
            <w:tcW w:type="dxa" w:w="2160"/>
          </w:tcPr>
          <w:p>
            <w:r>
              <w:t>Protein resources</w:t>
            </w:r>
          </w:p>
        </w:tc>
        <w:tc>
          <w:tcPr>
            <w:tcW w:type="dxa" w:w="2160"/>
          </w:tcPr>
          <w:p>
            <w:r>
              <w:t>aqueous/vitreous/FVM-related evidence</w:t>
            </w:r>
          </w:p>
        </w:tc>
        <w:tc>
          <w:tcPr>
            <w:tcW w:type="dxa" w:w="2160"/>
          </w:tcPr>
          <w:p>
            <w:r>
              <w:t>Context only</w:t>
            </w:r>
          </w:p>
        </w:tc>
        <w:tc>
          <w:tcPr>
            <w:tcW w:type="dxa" w:w="2160"/>
          </w:tcPr>
          <w:p>
            <w:r>
              <w:t>no focused candidate met protein FDR&lt;0.05</w:t>
            </w:r>
          </w:p>
        </w:tc>
      </w:tr>
      <w:tr>
        <w:tc>
          <w:tcPr>
            <w:tcW w:type="dxa" w:w="2160"/>
          </w:tcPr>
          <w:p>
            <w:r>
              <w:t>Drug databases</w:t>
            </w:r>
          </w:p>
        </w:tc>
        <w:tc>
          <w:tcPr>
            <w:tcW w:type="dxa" w:w="2160"/>
          </w:tcPr>
          <w:p>
            <w:r>
              <w:t>DGIdb/OpenTargets/ChEMBL/CTD context</w:t>
            </w:r>
          </w:p>
        </w:tc>
        <w:tc>
          <w:tcPr>
            <w:tcW w:type="dxa" w:w="2160"/>
          </w:tcPr>
          <w:p>
            <w:r>
              <w:t>Therapeutic context</w:t>
            </w:r>
          </w:p>
        </w:tc>
        <w:tc>
          <w:tcPr>
            <w:tcW w:type="dxa" w:w="2160"/>
          </w:tcPr>
          <w:p>
            <w:r>
              <w:t>mechanistic probes, not therapies or clinical recommendations</w:t>
            </w:r>
          </w:p>
        </w:tc>
      </w:tr>
    </w:tbl>
    <w:p/>
    <w:p>
      <w:r>
        <w:rPr>
          <w:b/>
        </w:rPr>
        <w:t>Table 2. Biological-module summary for the 17 prioritized genes. Detailed evidence is provided in Supplementary Table S2.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Gene</w:t>
            </w:r>
          </w:p>
        </w:tc>
        <w:tc>
          <w:tcPr>
            <w:tcW w:type="dxa" w:w="1440"/>
          </w:tcPr>
          <w:p>
            <w:r>
              <w:rPr>
                <w:b/>
              </w:rPr>
              <w:t>Rank</w:t>
            </w:r>
          </w:p>
        </w:tc>
        <w:tc>
          <w:tcPr>
            <w:tcW w:type="dxa" w:w="1440"/>
          </w:tcPr>
          <w:p>
            <w:r>
              <w:rPr>
                <w:b/>
              </w:rPr>
              <w:t>Top-30 probability</w:t>
            </w:r>
          </w:p>
        </w:tc>
        <w:tc>
          <w:tcPr>
            <w:tcW w:type="dxa" w:w="1440"/>
          </w:tcPr>
          <w:p>
            <w:r>
              <w:rPr>
                <w:b/>
              </w:rPr>
              <w:t>Biological module</w:t>
            </w:r>
          </w:p>
        </w:tc>
        <w:tc>
          <w:tcPr>
            <w:tcW w:type="dxa" w:w="1440"/>
          </w:tcPr>
          <w:p>
            <w:r>
              <w:rPr>
                <w:b/>
              </w:rPr>
              <w:t>Evidence use</w:t>
            </w:r>
          </w:p>
        </w:tc>
        <w:tc>
          <w:tcPr>
            <w:tcW w:type="dxa" w:w="1440"/>
          </w:tcPr>
          <w:p>
            <w:r>
              <w:rPr>
                <w:b/>
              </w:rPr>
              <w:t>Caution</w:t>
            </w:r>
          </w:p>
        </w:tc>
      </w:tr>
      <w:tr>
        <w:tc>
          <w:tcPr>
            <w:tcW w:type="dxa" w:w="1440"/>
          </w:tcPr>
          <w:p>
            <w:r>
              <w:t>VWF</w:t>
            </w:r>
          </w:p>
        </w:tc>
        <w:tc>
          <w:tcPr>
            <w:tcW w:type="dxa" w:w="1440"/>
          </w:tcPr>
          <w:p>
            <w:r>
              <w:t>1</w:t>
            </w:r>
          </w:p>
        </w:tc>
        <w:tc>
          <w:tcPr>
            <w:tcW w:type="dxa" w:w="1440"/>
          </w:tcPr>
          <w:p>
            <w:r>
              <w:t>0.993</w:t>
            </w:r>
          </w:p>
        </w:tc>
        <w:tc>
          <w:tcPr>
            <w:tcW w:type="dxa" w:w="1440"/>
          </w:tcPr>
          <w:p>
            <w:r>
              <w:t>Vascular/ECM</w:t>
            </w:r>
          </w:p>
        </w:tc>
        <w:tc>
          <w:tcPr>
            <w:tcW w:type="dxa" w:w="1440"/>
          </w:tcPr>
          <w:p>
            <w:r>
              <w:t>ranking-derived</w:t>
            </w:r>
          </w:p>
        </w:tc>
        <w:tc>
          <w:tcPr>
            <w:tcW w:type="dxa" w:w="1440"/>
          </w:tcPr>
          <w:p>
            <w:r>
              <w:t>needs validation</w:t>
            </w:r>
          </w:p>
        </w:tc>
      </w:tr>
      <w:tr>
        <w:tc>
          <w:tcPr>
            <w:tcW w:type="dxa" w:w="1440"/>
          </w:tcPr>
          <w:p>
            <w:r>
              <w:t>COL5A1</w:t>
            </w:r>
          </w:p>
        </w:tc>
        <w:tc>
          <w:tcPr>
            <w:tcW w:type="dxa" w:w="1440"/>
          </w:tcPr>
          <w:p>
            <w:r>
              <w:t>2</w:t>
            </w:r>
          </w:p>
        </w:tc>
        <w:tc>
          <w:tcPr>
            <w:tcW w:type="dxa" w:w="1440"/>
          </w:tcPr>
          <w:p>
            <w:r>
              <w:t>0.985</w:t>
            </w:r>
          </w:p>
        </w:tc>
        <w:tc>
          <w:tcPr>
            <w:tcW w:type="dxa" w:w="1440"/>
          </w:tcPr>
          <w:p>
            <w:r>
              <w:t>Vascular/ECM</w:t>
            </w:r>
          </w:p>
        </w:tc>
        <w:tc>
          <w:tcPr>
            <w:tcW w:type="dxa" w:w="1440"/>
          </w:tcPr>
          <w:p>
            <w:r>
              <w:t>ranking-derived</w:t>
            </w:r>
          </w:p>
        </w:tc>
        <w:tc>
          <w:tcPr>
            <w:tcW w:type="dxa" w:w="1440"/>
          </w:tcPr>
          <w:p>
            <w:r>
              <w:t>needs validation</w:t>
            </w:r>
          </w:p>
        </w:tc>
      </w:tr>
      <w:tr>
        <w:tc>
          <w:tcPr>
            <w:tcW w:type="dxa" w:w="1440"/>
          </w:tcPr>
          <w:p>
            <w:r>
              <w:t>VCAN</w:t>
            </w:r>
          </w:p>
        </w:tc>
        <w:tc>
          <w:tcPr>
            <w:tcW w:type="dxa" w:w="1440"/>
          </w:tcPr>
          <w:p>
            <w:r>
              <w:t>3</w:t>
            </w:r>
          </w:p>
        </w:tc>
        <w:tc>
          <w:tcPr>
            <w:tcW w:type="dxa" w:w="1440"/>
          </w:tcPr>
          <w:p>
            <w:r>
              <w:t>0.948</w:t>
            </w:r>
          </w:p>
        </w:tc>
        <w:tc>
          <w:tcPr>
            <w:tcW w:type="dxa" w:w="1440"/>
          </w:tcPr>
          <w:p>
            <w:r>
              <w:t>Vascular/ECM</w:t>
            </w:r>
          </w:p>
        </w:tc>
        <w:tc>
          <w:tcPr>
            <w:tcW w:type="dxa" w:w="1440"/>
          </w:tcPr>
          <w:p>
            <w:r>
              <w:t>ranking-derived</w:t>
            </w:r>
          </w:p>
        </w:tc>
        <w:tc>
          <w:tcPr>
            <w:tcW w:type="dxa" w:w="1440"/>
          </w:tcPr>
          <w:p>
            <w:r>
              <w:t>needs validation</w:t>
            </w:r>
          </w:p>
        </w:tc>
      </w:tr>
      <w:tr>
        <w:tc>
          <w:tcPr>
            <w:tcW w:type="dxa" w:w="1440"/>
          </w:tcPr>
          <w:p>
            <w:r>
              <w:t>ALOX5AP</w:t>
            </w:r>
          </w:p>
        </w:tc>
        <w:tc>
          <w:tcPr>
            <w:tcW w:type="dxa" w:w="1440"/>
          </w:tcPr>
          <w:p>
            <w:r>
              <w:t>4</w:t>
            </w:r>
          </w:p>
        </w:tc>
        <w:tc>
          <w:tcPr>
            <w:tcW w:type="dxa" w:w="1440"/>
          </w:tcPr>
          <w:p>
            <w:r>
              <w:t>0.916</w:t>
            </w:r>
          </w:p>
        </w:tc>
        <w:tc>
          <w:tcPr>
            <w:tcW w:type="dxa" w:w="1440"/>
          </w:tcPr>
          <w:p>
            <w:r>
              <w:t>Myeloid/inflammatory</w:t>
            </w:r>
          </w:p>
        </w:tc>
        <w:tc>
          <w:tcPr>
            <w:tcW w:type="dxa" w:w="1440"/>
          </w:tcPr>
          <w:p>
            <w:r>
              <w:t>ranking-derived</w:t>
            </w:r>
          </w:p>
        </w:tc>
        <w:tc>
          <w:tcPr>
            <w:tcW w:type="dxa" w:w="1440"/>
          </w:tcPr>
          <w:p>
            <w:r>
              <w:t>needs validation</w:t>
            </w:r>
          </w:p>
        </w:tc>
      </w:tr>
      <w:tr>
        <w:tc>
          <w:tcPr>
            <w:tcW w:type="dxa" w:w="1440"/>
          </w:tcPr>
          <w:p>
            <w:r>
              <w:t>CTSB</w:t>
            </w:r>
          </w:p>
        </w:tc>
        <w:tc>
          <w:tcPr>
            <w:tcW w:type="dxa" w:w="1440"/>
          </w:tcPr>
          <w:p>
            <w:r>
              <w:t>5</w:t>
            </w:r>
          </w:p>
        </w:tc>
        <w:tc>
          <w:tcPr>
            <w:tcW w:type="dxa" w:w="1440"/>
          </w:tcPr>
          <w:p>
            <w:r>
              <w:t>0.887</w:t>
            </w:r>
          </w:p>
        </w:tc>
        <w:tc>
          <w:tcPr>
            <w:tcW w:type="dxa" w:w="1440"/>
          </w:tcPr>
          <w:p>
            <w:r>
              <w:t>Myeloid/inflammatory</w:t>
            </w:r>
          </w:p>
        </w:tc>
        <w:tc>
          <w:tcPr>
            <w:tcW w:type="dxa" w:w="1440"/>
          </w:tcPr>
          <w:p>
            <w:r>
              <w:t>ranking-derived</w:t>
            </w:r>
          </w:p>
        </w:tc>
        <w:tc>
          <w:tcPr>
            <w:tcW w:type="dxa" w:w="1440"/>
          </w:tcPr>
          <w:p>
            <w:r>
              <w:t>needs validation</w:t>
            </w:r>
          </w:p>
        </w:tc>
      </w:tr>
      <w:tr>
        <w:tc>
          <w:tcPr>
            <w:tcW w:type="dxa" w:w="1440"/>
          </w:tcPr>
          <w:p>
            <w:r>
              <w:t>FN1</w:t>
            </w:r>
          </w:p>
        </w:tc>
        <w:tc>
          <w:tcPr>
            <w:tcW w:type="dxa" w:w="1440"/>
          </w:tcPr>
          <w:p>
            <w:r>
              <w:t>6</w:t>
            </w:r>
          </w:p>
        </w:tc>
        <w:tc>
          <w:tcPr>
            <w:tcW w:type="dxa" w:w="1440"/>
          </w:tcPr>
          <w:p>
            <w:r>
              <w:t>0.829</w:t>
            </w:r>
          </w:p>
        </w:tc>
        <w:tc>
          <w:tcPr>
            <w:tcW w:type="dxa" w:w="1440"/>
          </w:tcPr>
          <w:p>
            <w:r>
              <w:t>Vascular/ECM</w:t>
            </w:r>
          </w:p>
        </w:tc>
        <w:tc>
          <w:tcPr>
            <w:tcW w:type="dxa" w:w="1440"/>
          </w:tcPr>
          <w:p>
            <w:r>
              <w:t>ranking-derived</w:t>
            </w:r>
          </w:p>
        </w:tc>
        <w:tc>
          <w:tcPr>
            <w:tcW w:type="dxa" w:w="1440"/>
          </w:tcPr>
          <w:p>
            <w:r>
              <w:t>needs validation</w:t>
            </w:r>
          </w:p>
        </w:tc>
      </w:tr>
      <w:tr>
        <w:tc>
          <w:tcPr>
            <w:tcW w:type="dxa" w:w="1440"/>
          </w:tcPr>
          <w:p>
            <w:r>
              <w:t>SULF1</w:t>
            </w:r>
          </w:p>
        </w:tc>
        <w:tc>
          <w:tcPr>
            <w:tcW w:type="dxa" w:w="1440"/>
          </w:tcPr>
          <w:p>
            <w:r>
              <w:t>7</w:t>
            </w:r>
          </w:p>
        </w:tc>
        <w:tc>
          <w:tcPr>
            <w:tcW w:type="dxa" w:w="1440"/>
          </w:tcPr>
          <w:p>
            <w:r>
              <w:t>0.808</w:t>
            </w:r>
          </w:p>
        </w:tc>
        <w:tc>
          <w:tcPr>
            <w:tcW w:type="dxa" w:w="1440"/>
          </w:tcPr>
          <w:p>
            <w:r>
              <w:t>Vascular/ECM</w:t>
            </w:r>
          </w:p>
        </w:tc>
        <w:tc>
          <w:tcPr>
            <w:tcW w:type="dxa" w:w="1440"/>
          </w:tcPr>
          <w:p>
            <w:r>
              <w:t>ranking-derived</w:t>
            </w:r>
          </w:p>
        </w:tc>
        <w:tc>
          <w:tcPr>
            <w:tcW w:type="dxa" w:w="1440"/>
          </w:tcPr>
          <w:p>
            <w:r>
              <w:t>needs validation</w:t>
            </w:r>
          </w:p>
        </w:tc>
      </w:tr>
      <w:tr>
        <w:tc>
          <w:tcPr>
            <w:tcW w:type="dxa" w:w="1440"/>
          </w:tcPr>
          <w:p>
            <w:r>
              <w:t>CCDC102B</w:t>
            </w:r>
          </w:p>
        </w:tc>
        <w:tc>
          <w:tcPr>
            <w:tcW w:type="dxa" w:w="1440"/>
          </w:tcPr>
          <w:p>
            <w:r>
              <w:t>8</w:t>
            </w:r>
          </w:p>
        </w:tc>
        <w:tc>
          <w:tcPr>
            <w:tcW w:type="dxa" w:w="1440"/>
          </w:tcPr>
          <w:p>
            <w:r>
              <w:t>0.795</w:t>
            </w:r>
          </w:p>
        </w:tc>
        <w:tc>
          <w:tcPr>
            <w:tcW w:type="dxa" w:w="1440"/>
          </w:tcPr>
          <w:p>
            <w:r>
              <w:t>Less-characterized exploratory</w:t>
            </w:r>
          </w:p>
        </w:tc>
        <w:tc>
          <w:tcPr>
            <w:tcW w:type="dxa" w:w="1440"/>
          </w:tcPr>
          <w:p>
            <w:r>
              <w:t>ranking-derived</w:t>
            </w:r>
          </w:p>
        </w:tc>
        <w:tc>
          <w:tcPr>
            <w:tcW w:type="dxa" w:w="1440"/>
          </w:tcPr>
          <w:p>
            <w:r>
              <w:t>needs validation</w:t>
            </w:r>
          </w:p>
        </w:tc>
      </w:tr>
      <w:tr>
        <w:tc>
          <w:tcPr>
            <w:tcW w:type="dxa" w:w="1440"/>
          </w:tcPr>
          <w:p>
            <w:r>
              <w:t>SPARC</w:t>
            </w:r>
          </w:p>
        </w:tc>
        <w:tc>
          <w:tcPr>
            <w:tcW w:type="dxa" w:w="1440"/>
          </w:tcPr>
          <w:p>
            <w:r>
              <w:t>9</w:t>
            </w:r>
          </w:p>
        </w:tc>
        <w:tc>
          <w:tcPr>
            <w:tcW w:type="dxa" w:w="1440"/>
          </w:tcPr>
          <w:p>
            <w:r>
              <w:t>0.740</w:t>
            </w:r>
          </w:p>
        </w:tc>
        <w:tc>
          <w:tcPr>
            <w:tcW w:type="dxa" w:w="1440"/>
          </w:tcPr>
          <w:p>
            <w:r>
              <w:t>Vascular/ECM</w:t>
            </w:r>
          </w:p>
        </w:tc>
        <w:tc>
          <w:tcPr>
            <w:tcW w:type="dxa" w:w="1440"/>
          </w:tcPr>
          <w:p>
            <w:r>
              <w:t>ranking-derived</w:t>
            </w:r>
          </w:p>
        </w:tc>
        <w:tc>
          <w:tcPr>
            <w:tcW w:type="dxa" w:w="1440"/>
          </w:tcPr>
          <w:p>
            <w:r>
              <w:t>needs validation</w:t>
            </w:r>
          </w:p>
        </w:tc>
      </w:tr>
      <w:tr>
        <w:tc>
          <w:tcPr>
            <w:tcW w:type="dxa" w:w="1440"/>
          </w:tcPr>
          <w:p>
            <w:r>
              <w:t>CFH</w:t>
            </w:r>
          </w:p>
        </w:tc>
        <w:tc>
          <w:tcPr>
            <w:tcW w:type="dxa" w:w="1440"/>
          </w:tcPr>
          <w:p>
            <w:r>
              <w:t>10</w:t>
            </w:r>
          </w:p>
        </w:tc>
        <w:tc>
          <w:tcPr>
            <w:tcW w:type="dxa" w:w="1440"/>
          </w:tcPr>
          <w:p>
            <w:r>
              <w:t>0.715</w:t>
            </w:r>
          </w:p>
        </w:tc>
        <w:tc>
          <w:tcPr>
            <w:tcW w:type="dxa" w:w="1440"/>
          </w:tcPr>
          <w:p>
            <w:r>
              <w:t>Complement/genetic context</w:t>
            </w:r>
          </w:p>
        </w:tc>
        <w:tc>
          <w:tcPr>
            <w:tcW w:type="dxa" w:w="1440"/>
          </w:tcPr>
          <w:p>
            <w:r>
              <w:t>ranking-derived</w:t>
            </w:r>
          </w:p>
        </w:tc>
        <w:tc>
          <w:tcPr>
            <w:tcW w:type="dxa" w:w="1440"/>
          </w:tcPr>
          <w:p>
            <w:r>
              <w:t>needs validation</w:t>
            </w:r>
          </w:p>
        </w:tc>
      </w:tr>
      <w:tr>
        <w:tc>
          <w:tcPr>
            <w:tcW w:type="dxa" w:w="1440"/>
          </w:tcPr>
          <w:p>
            <w:r>
              <w:t>THY1</w:t>
            </w:r>
          </w:p>
        </w:tc>
        <w:tc>
          <w:tcPr>
            <w:tcW w:type="dxa" w:w="1440"/>
          </w:tcPr>
          <w:p>
            <w:r>
              <w:t>11</w:t>
            </w:r>
          </w:p>
        </w:tc>
        <w:tc>
          <w:tcPr>
            <w:tcW w:type="dxa" w:w="1440"/>
          </w:tcPr>
          <w:p>
            <w:r>
              <w:t>0.636</w:t>
            </w:r>
          </w:p>
        </w:tc>
        <w:tc>
          <w:tcPr>
            <w:tcW w:type="dxa" w:w="1440"/>
          </w:tcPr>
          <w:p>
            <w:r>
              <w:t>Vascular/ECM</w:t>
            </w:r>
          </w:p>
        </w:tc>
        <w:tc>
          <w:tcPr>
            <w:tcW w:type="dxa" w:w="1440"/>
          </w:tcPr>
          <w:p>
            <w:r>
              <w:t>ranking-derived</w:t>
            </w:r>
          </w:p>
        </w:tc>
        <w:tc>
          <w:tcPr>
            <w:tcW w:type="dxa" w:w="1440"/>
          </w:tcPr>
          <w:p>
            <w:r>
              <w:t>needs validation</w:t>
            </w:r>
          </w:p>
        </w:tc>
      </w:tr>
      <w:tr>
        <w:tc>
          <w:tcPr>
            <w:tcW w:type="dxa" w:w="1440"/>
          </w:tcPr>
          <w:p>
            <w:r>
              <w:t>COL1A2</w:t>
            </w:r>
          </w:p>
        </w:tc>
        <w:tc>
          <w:tcPr>
            <w:tcW w:type="dxa" w:w="1440"/>
          </w:tcPr>
          <w:p>
            <w:r>
              <w:t>12</w:t>
            </w:r>
          </w:p>
        </w:tc>
        <w:tc>
          <w:tcPr>
            <w:tcW w:type="dxa" w:w="1440"/>
          </w:tcPr>
          <w:p>
            <w:r>
              <w:t>0.634</w:t>
            </w:r>
          </w:p>
        </w:tc>
        <w:tc>
          <w:tcPr>
            <w:tcW w:type="dxa" w:w="1440"/>
          </w:tcPr>
          <w:p>
            <w:r>
              <w:t>Vascular/ECM</w:t>
            </w:r>
          </w:p>
        </w:tc>
        <w:tc>
          <w:tcPr>
            <w:tcW w:type="dxa" w:w="1440"/>
          </w:tcPr>
          <w:p>
            <w:r>
              <w:t>ranking-derived</w:t>
            </w:r>
          </w:p>
        </w:tc>
        <w:tc>
          <w:tcPr>
            <w:tcW w:type="dxa" w:w="1440"/>
          </w:tcPr>
          <w:p>
            <w:r>
              <w:t>needs validation</w:t>
            </w:r>
          </w:p>
        </w:tc>
      </w:tr>
      <w:tr>
        <w:tc>
          <w:tcPr>
            <w:tcW w:type="dxa" w:w="1440"/>
          </w:tcPr>
          <w:p>
            <w:r>
              <w:t>ST6GALNAC3</w:t>
            </w:r>
          </w:p>
        </w:tc>
        <w:tc>
          <w:tcPr>
            <w:tcW w:type="dxa" w:w="1440"/>
          </w:tcPr>
          <w:p>
            <w:r>
              <w:t>13</w:t>
            </w:r>
          </w:p>
        </w:tc>
        <w:tc>
          <w:tcPr>
            <w:tcW w:type="dxa" w:w="1440"/>
          </w:tcPr>
          <w:p>
            <w:r>
              <w:t>0.626</w:t>
            </w:r>
          </w:p>
        </w:tc>
        <w:tc>
          <w:tcPr>
            <w:tcW w:type="dxa" w:w="1440"/>
          </w:tcPr>
          <w:p>
            <w:r>
              <w:t>Less-characterized exploratory</w:t>
            </w:r>
          </w:p>
        </w:tc>
        <w:tc>
          <w:tcPr>
            <w:tcW w:type="dxa" w:w="1440"/>
          </w:tcPr>
          <w:p>
            <w:r>
              <w:t>ranking-derived</w:t>
            </w:r>
          </w:p>
        </w:tc>
        <w:tc>
          <w:tcPr>
            <w:tcW w:type="dxa" w:w="1440"/>
          </w:tcPr>
          <w:p>
            <w:r>
              <w:t>needs validation</w:t>
            </w:r>
          </w:p>
        </w:tc>
      </w:tr>
      <w:tr>
        <w:tc>
          <w:tcPr>
            <w:tcW w:type="dxa" w:w="1440"/>
          </w:tcPr>
          <w:p>
            <w:r>
              <w:t>COL11A1</w:t>
            </w:r>
          </w:p>
        </w:tc>
        <w:tc>
          <w:tcPr>
            <w:tcW w:type="dxa" w:w="1440"/>
          </w:tcPr>
          <w:p>
            <w:r>
              <w:t>14</w:t>
            </w:r>
          </w:p>
        </w:tc>
        <w:tc>
          <w:tcPr>
            <w:tcW w:type="dxa" w:w="1440"/>
          </w:tcPr>
          <w:p>
            <w:r>
              <w:t>0.555</w:t>
            </w:r>
          </w:p>
        </w:tc>
        <w:tc>
          <w:tcPr>
            <w:tcW w:type="dxa" w:w="1440"/>
          </w:tcPr>
          <w:p>
            <w:r>
              <w:t>Vascular/ECM</w:t>
            </w:r>
          </w:p>
        </w:tc>
        <w:tc>
          <w:tcPr>
            <w:tcW w:type="dxa" w:w="1440"/>
          </w:tcPr>
          <w:p>
            <w:r>
              <w:t>ranking-derived</w:t>
            </w:r>
          </w:p>
        </w:tc>
        <w:tc>
          <w:tcPr>
            <w:tcW w:type="dxa" w:w="1440"/>
          </w:tcPr>
          <w:p>
            <w:r>
              <w:t>needs validation</w:t>
            </w:r>
          </w:p>
        </w:tc>
      </w:tr>
      <w:tr>
        <w:tc>
          <w:tcPr>
            <w:tcW w:type="dxa" w:w="1440"/>
          </w:tcPr>
          <w:p>
            <w:r>
              <w:t>SEMA5A</w:t>
            </w:r>
          </w:p>
        </w:tc>
        <w:tc>
          <w:tcPr>
            <w:tcW w:type="dxa" w:w="1440"/>
          </w:tcPr>
          <w:p>
            <w:r>
              <w:t>15</w:t>
            </w:r>
          </w:p>
        </w:tc>
        <w:tc>
          <w:tcPr>
            <w:tcW w:type="dxa" w:w="1440"/>
          </w:tcPr>
          <w:p>
            <w:r>
              <w:t>0.541</w:t>
            </w:r>
          </w:p>
        </w:tc>
        <w:tc>
          <w:tcPr>
            <w:tcW w:type="dxa" w:w="1440"/>
          </w:tcPr>
          <w:p>
            <w:r>
              <w:t>Less-characterized exploratory</w:t>
            </w:r>
          </w:p>
        </w:tc>
        <w:tc>
          <w:tcPr>
            <w:tcW w:type="dxa" w:w="1440"/>
          </w:tcPr>
          <w:p>
            <w:r>
              <w:t>ranking-derived</w:t>
            </w:r>
          </w:p>
        </w:tc>
        <w:tc>
          <w:tcPr>
            <w:tcW w:type="dxa" w:w="1440"/>
          </w:tcPr>
          <w:p>
            <w:r>
              <w:t>needs validation</w:t>
            </w:r>
          </w:p>
        </w:tc>
      </w:tr>
      <w:tr>
        <w:tc>
          <w:tcPr>
            <w:tcW w:type="dxa" w:w="1440"/>
          </w:tcPr>
          <w:p>
            <w:r>
              <w:t>MSR1</w:t>
            </w:r>
          </w:p>
        </w:tc>
        <w:tc>
          <w:tcPr>
            <w:tcW w:type="dxa" w:w="1440"/>
          </w:tcPr>
          <w:p>
            <w:r>
              <w:t>16</w:t>
            </w:r>
          </w:p>
        </w:tc>
        <w:tc>
          <w:tcPr>
            <w:tcW w:type="dxa" w:w="1440"/>
          </w:tcPr>
          <w:p>
            <w:r>
              <w:t>0.539</w:t>
            </w:r>
          </w:p>
        </w:tc>
        <w:tc>
          <w:tcPr>
            <w:tcW w:type="dxa" w:w="1440"/>
          </w:tcPr>
          <w:p>
            <w:r>
              <w:t>Myeloid/inflammatory</w:t>
            </w:r>
          </w:p>
        </w:tc>
        <w:tc>
          <w:tcPr>
            <w:tcW w:type="dxa" w:w="1440"/>
          </w:tcPr>
          <w:p>
            <w:r>
              <w:t>ranking-derived</w:t>
            </w:r>
          </w:p>
        </w:tc>
        <w:tc>
          <w:tcPr>
            <w:tcW w:type="dxa" w:w="1440"/>
          </w:tcPr>
          <w:p>
            <w:r>
              <w:t>needs validation</w:t>
            </w:r>
          </w:p>
        </w:tc>
      </w:tr>
      <w:tr>
        <w:tc>
          <w:tcPr>
            <w:tcW w:type="dxa" w:w="1440"/>
          </w:tcPr>
          <w:p>
            <w:r>
              <w:t>HERPUD1</w:t>
            </w:r>
          </w:p>
        </w:tc>
        <w:tc>
          <w:tcPr>
            <w:tcW w:type="dxa" w:w="1440"/>
          </w:tcPr>
          <w:p>
            <w:r>
              <w:t>17</w:t>
            </w:r>
          </w:p>
        </w:tc>
        <w:tc>
          <w:tcPr>
            <w:tcW w:type="dxa" w:w="1440"/>
          </w:tcPr>
          <w:p>
            <w:r>
              <w:t>0.538</w:t>
            </w:r>
          </w:p>
        </w:tc>
        <w:tc>
          <w:tcPr>
            <w:tcW w:type="dxa" w:w="1440"/>
          </w:tcPr>
          <w:p>
            <w:r>
              <w:t>Less-characterized exploratory</w:t>
            </w:r>
          </w:p>
        </w:tc>
        <w:tc>
          <w:tcPr>
            <w:tcW w:type="dxa" w:w="1440"/>
          </w:tcPr>
          <w:p>
            <w:r>
              <w:t>ranking-derived</w:t>
            </w:r>
          </w:p>
        </w:tc>
        <w:tc>
          <w:tcPr>
            <w:tcW w:type="dxa" w:w="1440"/>
          </w:tcPr>
          <w:p>
            <w:r>
              <w:t>needs validation</w:t>
            </w:r>
          </w:p>
        </w:tc>
      </w:tr>
    </w:tbl>
    <w:p/>
    <w:p>
      <w:pPr>
        <w:pStyle w:val="Heading1"/>
      </w:pPr>
      <w:r>
        <w:t>Figure Legends</w:t>
      </w:r>
    </w:p>
    <w:p>
      <w:r>
        <w:t>Graphical Abstract. Retrospective evidence audit of a frozen project-defined PDR candidate universe.</w:t>
      </w:r>
    </w:p>
    <w:p>
      <w:r>
        <w:t>Figure 1. Candidate-universe reconstruction and ranking traceability. Panels show the frozen 430-gene universe, broader 691-gene upstream table, explicit 17-gene rule, Monte Carlo top-30 probabilities and major-layer exclusion metrics.</w:t>
      </w:r>
    </w:p>
    <w:p>
      <w:r>
        <w:t>Figure 2. Transcriptomic localization, cross-dataset support and protein context for prioritized genes. Protein results are shown as quantitative context; no candidate met FDR&lt;0.05.</w:t>
      </w:r>
    </w:p>
    <w:p>
      <w:r>
        <w:t>Figure 3. Genetic association, colocalization boundary and therapeutic-context mapping. Internal structural permutation diagnostics are retained only as supplementary audit material.</w:t>
      </w:r>
    </w:p>
    <w:p>
      <w:pPr>
        <w:pStyle w:val="Heading1"/>
      </w:pPr>
      <w:r>
        <w:t>Declarations</w:t>
      </w:r>
    </w:p>
    <w:p>
      <w:pPr>
        <w:pStyle w:val="Heading2"/>
      </w:pPr>
      <w:r>
        <w:t>Acknowledgements</w:t>
      </w:r>
    </w:p>
    <w:p>
      <w:r>
        <w:rPr>
          <w:rFonts w:ascii="Arial" w:hAnsi="Arial"/>
          <w:sz w:val="20"/>
        </w:rPr>
        <w:t>The authors thank the investigators, data contributors and participants associated with the public datasets used in this study.</w:t>
      </w:r>
    </w:p>
    <w:p>
      <w:pPr>
        <w:pStyle w:val="Heading2"/>
      </w:pPr>
      <w:r>
        <w:t>Authors' contributions</w:t>
      </w:r>
    </w:p>
    <w:p>
      <w:r>
        <w:rPr>
          <w:rFonts w:ascii="Arial" w:hAnsi="Arial"/>
          <w:sz w:val="20"/>
        </w:rPr>
        <w:t>Yi Zha, Da Lin, Ying Chen, Yue Liu and Yu Zhang contributed to study conception, data curation, analysis, interpretation and manuscript revision. Yu Zhang supervised the project. All authors read and approved the final manuscript.</w:t>
      </w:r>
    </w:p>
    <w:p>
      <w:pPr>
        <w:pStyle w:val="Heading2"/>
      </w:pPr>
      <w:r>
        <w:t>Funding</w:t>
      </w:r>
    </w:p>
    <w:p>
      <w:r>
        <w:rPr>
          <w:rFonts w:ascii="Arial" w:hAnsi="Arial"/>
          <w:sz w:val="20"/>
        </w:rPr>
        <w:t>This research received no specific grant from any funding agency in the public, commercial or not-for-profit sectors.</w:t>
      </w:r>
    </w:p>
    <w:p>
      <w:pPr>
        <w:pStyle w:val="Heading2"/>
      </w:pPr>
      <w:r>
        <w:t>Availability of data and materials</w:t>
      </w:r>
    </w:p>
    <w:p>
      <w:r>
        <w:rPr>
          <w:rFonts w:ascii="Arial" w:hAnsi="Arial"/>
          <w:sz w:val="20"/>
        </w:rPr>
        <w:t>The analysis code and processed, non-restricted manuscript-support files are available at GitHub: https://github.com/seefreewind/pdr-public-multiomics-prioritization. The version corresponding to this manuscript has been archived at Zenodo: https://doi.org/10.5281/zenodo.21404212. Raw public datasets should be obtained from the original repositories using the accessions reported in the manuscript.</w:t>
      </w:r>
    </w:p>
    <w:p>
      <w:pPr>
        <w:pStyle w:val="Heading2"/>
      </w:pPr>
      <w:r>
        <w:t>Ethics approval and consent to participate</w:t>
      </w:r>
    </w:p>
    <w:p>
      <w:r>
        <w:rPr>
          <w:rFonts w:ascii="Arial" w:hAnsi="Arial"/>
          <w:sz w:val="20"/>
        </w:rPr>
        <w:t>This study was based on publicly available and previously generated datasets. No new human participants were recruited, and no new biospecimens were collected for this secondary analysis.</w:t>
      </w:r>
    </w:p>
    <w:p>
      <w:pPr>
        <w:pStyle w:val="Heading2"/>
      </w:pPr>
      <w:r>
        <w:t>Consent for publication</w:t>
      </w:r>
    </w:p>
    <w:p>
      <w:r>
        <w:rPr>
          <w:rFonts w:ascii="Arial" w:hAnsi="Arial"/>
          <w:sz w:val="20"/>
        </w:rPr>
        <w:t>Not applicable.</w:t>
      </w:r>
    </w:p>
    <w:p>
      <w:pPr>
        <w:pStyle w:val="Heading2"/>
      </w:pPr>
      <w:r>
        <w:t>Competing interests</w:t>
      </w:r>
    </w:p>
    <w:p>
      <w:r>
        <w:rPr>
          <w:rFonts w:ascii="Arial" w:hAnsi="Arial"/>
          <w:sz w:val="20"/>
        </w:rPr>
        <w:t>The authors declare that they have no competing interests.</w:t>
      </w:r>
    </w:p>
    <w:p>
      <w:pPr>
        <w:pStyle w:val="Heading1"/>
      </w:pPr>
      <w:r>
        <w:t>References</w:t>
      </w:r>
    </w:p>
    <w:p>
      <w:r>
        <w:t>1. Tremolada G, Del Turco C, Lattanzio R, et al. The role of angiogenesis in the development of proliferative diabetic retinopathy: impact of intravitreal anti-VEGF treatment. Exp Diabetes Res. 2012;2012:728325. doi:10.1155/2012/728325.</w:t>
      </w:r>
    </w:p>
    <w:p>
      <w:r>
        <w:t>2. Rangasamy S, McGuire PG, Das A. Diabetic retinopathy and inflammation: novel therapeutic targets. Middle East Afr J Ophthalmol. 2012;19:52-59. doi:10.4103/0974-9233.92116.</w:t>
      </w:r>
    </w:p>
    <w:p>
      <w:r>
        <w:t>3. Hu Z, Mao X, Chen M, et al. Single-Cell Transcriptomics Reveals Novel Role of Microglia in Fibrovascular Membrane of Proliferative Diabetic Retinopathy. Diabetes. 2022;71:762-773. doi:10.2337/db21-0551.</w:t>
      </w:r>
    </w:p>
    <w:p>
      <w:r>
        <w:t>4. Corano Scheri K, Lavine JA, Tedeschi T, et al. Single-cell transcriptomics analysis of proliferative diabetic retinopathy fibrovascular membranes reveals AEBP1 as fibrogenesis modulator. JCI Insight. 2023;8:e172062. doi:10.1172/jci.insight.172062.</w:t>
      </w:r>
    </w:p>
    <w:p>
      <w:r>
        <w:t>5. Ishikawa K, Yoshida S, Kobayashi Y, et al. Microarray analysis of gene expression in fibrovascular membranes excised from patients with proliferative diabetic retinopathy. Invest Ophthalmol Vis Sci. 2015;56:932-946. doi:10.1167/iovs.14-15589.</w:t>
      </w:r>
    </w:p>
    <w:p>
      <w:r>
        <w:t>6. Becker K, Klein H, Simon E, et al. In-depth transcriptomic analysis of human retina reveals molecular mechanisms underlying diabetic retinopathy. Sci Rep. 2021;11:10494. doi:10.1038/s41598-021-88698-3.</w:t>
      </w:r>
    </w:p>
    <w:p>
      <w:r>
        <w:t>7. Becker K, Klein H, Simon E, et al. Proliferative diabetic retinopathy transcriptomes reveal angiogenesis, anti-angiogenic therapy escape mechanisms, fibrosis and lymphatic involvement. Sci Rep. 2021;11:18810. doi:10.1038/s41598-021-97970-5.</w:t>
      </w:r>
    </w:p>
    <w:p>
      <w:r>
        <w:t>8. Li Y, Chen D, Sun L, et al. Induced expression of VEGFC, ANGPT, and EFNB2 and their receptors characterizes neovascularization in proliferative diabetic retinopathy. Invest Ophthalmol Vis Sci. 2019;60:4084-4096. doi:10.1167/iovs.19-26767.</w:t>
      </w:r>
    </w:p>
    <w:p>
      <w:r>
        <w:t>9. Lam JD, Oh DJ, Wong LL, et al. Identification of RUNX1 as a mediator of aberrant retinal angiogenesis. Diabetes. 2017;66:1950-1956. doi:10.2337/db16-1035.</w:t>
      </w:r>
    </w:p>
    <w:p>
      <w:r>
        <w:t>10. Abu El-Asrar AM, De Hertogh G, Nawaz MI, et al. Interplay of endothelial-mesenchymal transition, inflammation, and autophagy in proliferative diabetic retinopathy pathogenesis. Heliyon. 2024;10:e25166. doi:10.1016/j.heliyon.2024.e25166.</w:t>
      </w:r>
    </w:p>
    <w:p>
      <w:r>
        <w:t>11. Li Y, Wang Y, Wang S, et al. Upregulation of HMOX1 associated with M2 macrophage infiltration and ferroptosis in proliferative diabetic retinopathy. Int Immunopharmacol. 2024;134:112231. doi:10.1016/j.intimp.2024.112231.</w:t>
      </w:r>
    </w:p>
    <w:p>
      <w:r>
        <w:t>12. Shahulhameed S, Vishwakarma S, Chhablani J, et al. A Systematic Investigation on Complement Pathway Activation in Diabetic Retinopathy. Front Immunol. 2020;11:154. doi:10.3389/fimmu.2020.00154.</w:t>
      </w:r>
    </w:p>
    <w:p>
      <w:r>
        <w:t>13. Mandava N, Tirado-Gonzalez V, Geiger MD, et al. Complement Activation in the Vitreous of Patients With Proliferative Diabetic Retinopathy. Invest Ophthalmol Vis Sci. 2020;61:39. doi:10.1167/iovs.61.11.39.</w:t>
      </w:r>
    </w:p>
    <w:p>
      <w:r>
        <w:t>14. Xiao H, Guo X, Wang D, et al. Comprehensive Proteomic Profiling of Aqueous Humor Proteins in Proliferative Diabetic Retinopathy. Transl Vis Sci Technol. 2021;10:3. doi:10.1167/tvst.10.6.3.</w:t>
      </w:r>
    </w:p>
    <w:p>
      <w:r>
        <w:t>15. Santos FM, Gaspar LM, Ciordia S, et al. Proteomics profiling of vitreous humor reveals complement and coagulation components, adhesion factors, and neurodegeneration markers as discriminatory biomarkers of vitreoretinal eye diseases. Front Immunol. 2023;14:1107295. doi:10.3389/fimmu.2023.1107295.</w:t>
      </w:r>
    </w:p>
    <w:p>
      <w:r>
        <w:t>16. Zhang P, Su X, Chen Y, et al. System-wide vitreous proteome dissection reveals impaired sheddase activity in diabetic retinopathy. Theranostics. 2022;12:6682-6704. doi:10.7150/thno.72947.</w:t>
      </w:r>
    </w:p>
    <w:p>
      <w:r>
        <w:t>17. Li X, Li J, Wang Y, et al. Aqueous humor proteomics analyzed by bioinformatics and machine learning in PDR cases versus controls. Clin Proteomics. 2024;21:36. doi:10.1186/s12014-024-09481-w.</w:t>
      </w:r>
    </w:p>
    <w:p>
      <w:r>
        <w:t>18. Tam V, Patel N, Turcotte M, et al. Benefits and limitations of genome-wide association studies. Nat Rev Genet. 2019;20:467-484. doi:10.1038/s41576-019-0127-1.</w:t>
      </w:r>
    </w:p>
    <w:p>
      <w:r>
        <w:t>19. Gusev A, Ko A, Shi H, et al. Integrative approaches for large-scale transcriptome-wide association studies. Nat Genet. 2016;48:245-252. doi:10.1038/ng.3506.</w:t>
      </w:r>
    </w:p>
    <w:p>
      <w:r>
        <w:t>20. Ratnapriya R, Sosina OA, Starostik MR, et al. Retinal transcriptome and eQTL analyses identify genes associated with age-related macular degeneration. Nat Genet. 2019;51:606-610. doi:10.1038/s41588-019-0351-9.</w:t>
      </w:r>
    </w:p>
    <w:p>
      <w:r>
        <w:t>21. Kurki MI, Karjalainen J, Palta P, et al. FinnGen provides genetic insights from a well-phenotyped isolated population. Nature. 2023;613:508-518. doi:10.1038/s41586-022-05473-8.</w:t>
      </w:r>
    </w:p>
    <w:p>
      <w:r>
        <w:t>22. Wainberg M, Sinnott-Armstrong N, Mancuso N, et al. Opportunities and challenges for transcriptome-wide association studies. Nat Genet. 2019;51:592-599. doi:10.1038/s41588-019-0385-z.</w:t>
      </w:r>
    </w:p>
    <w:p>
      <w:r>
        <w:t>23. Liu Y, Li X, Zhang C, et al. Integration of multi-omics transcriptome-wide analysis for the identification of novel therapeutic drug targets in diabetic retinopathy. J Transl Med. 2024;22:1146. doi:10.1186/s12967-024-05856-7.</w:t>
      </w:r>
    </w:p>
    <w:p>
      <w:r>
        <w:t>24. Qian B, Chen H, Wang X, et al. DRAC 2022: A public benchmark for diabetic retinopathy analysis on ultra-wide optical coherence tomography angiography images. Patterns. 2024;5:100929. doi:10.1016/j.patter.2024.100929.</w:t>
      </w:r>
    </w:p>
    <w:p>
      <w:r>
        <w:t>25. Durbin MK, An L, Shemonski ND, et al. Quantification of retinal microvascular density in optical coherence tomographic angiography images in diabetic retinopathy. JAMA Ophthalmol. 2017;135:370-376. doi:10.1001/jamaophthalmol.2017.0080.</w:t>
      </w:r>
    </w:p>
    <w:p>
      <w:r>
        <w:t>26. ACCORD Study Group and ACCORD Eye Study Group. Effects of medical therapies on retinopathy progression in type 2 diabetes. N Engl J Med. 2010;363:233-244. doi:10.1056/NEJMoa1001288.</w:t>
      </w:r>
    </w:p>
    <w:p>
      <w:r>
        <w:t>27. Keech AC, Mitchell P, Summanen PA, et al. Effect of fenofibrate on the need for laser treatment for diabetic retinopathy (FIELD study): a randomised controlled trial. Lancet. 2007;370:1687-1697. doi:10.1016/S0140-6736(07)61607-9.</w:t>
      </w:r>
    </w:p>
    <w:p>
      <w:r>
        <w:t>28. Casini G, Dal Monte M, Fornaciari I, et al. Anti-angiogenic and antioxidant effects of axitinib in human retinal endothelial cells: implications in diabetic retinopathy. Front Pharmacol. 2024;15:1415846. doi:10.3389/fphar.2024.1415846.</w:t>
      </w:r>
    </w:p>
    <w:p>
      <w:r>
        <w:t>29. Kang-Mieler JJ, Rudeen KM, Liu W, et al. Axitinib inhibits retinal and choroidal neovascularization in in vitro and in vivo models. Exp Eye Res. 2016;145:373-379. doi:10.1016/j.exer.2016.02.010.</w:t>
      </w:r>
    </w:p>
    <w:p>
      <w:r>
        <w:t>30. Wu PC, Chen YH, Chen HY, et al. Association between pentoxifylline use and diabetic retinopathy in patients with type 2 diabetes mellitus and chronic kidney disease: a multi-institutional cohort study. Biomed J. 2025;48:100771. doi:10.1016/j.bj.2024.100771.</w:t>
      </w:r>
    </w:p>
    <w:p>
      <w:r>
        <w:t>31. Grover D, Li TJ, Chong CC. Pentoxifylline for diabetic retinopathy. Cochrane Database Syst Rev. 2008;2008:CD006693. doi:10.1002/14651858.CD006693.pub2.</w:t>
      </w:r>
    </w:p>
    <w:p>
      <w:r>
        <w:t>32. Han D, Gao J, Xu Z, et al. Predictive model for proliferative diabetic retinopathy using single-cell transcriptomics. Exp Eye Res. 2025;259:110536. doi:10.1016/j.exer.2025.110536.</w:t>
      </w:r>
    </w:p>
    <w:p>
      <w:r>
        <w:t>33. Benjamini Y, Hochberg Y. Controlling the false discovery rate: a practical and powerful approach to multiple testing. J R Stat Soc Series B. 1995;57:289-300. doi:10.1111/j.2517-6161.1995.tb02031.x.</w:t>
      </w:r>
    </w:p>
    <w:p>
      <w:pPr>
        <w:pStyle w:val="Heading1"/>
      </w:pPr>
      <w:r>
        <w:t>Figures</w:t>
      </w:r>
    </w:p>
    <w:p>
      <w:r>
        <w:drawing>
          <wp:inline xmlns:a="http://schemas.openxmlformats.org/drawingml/2006/main" xmlns:pic="http://schemas.openxmlformats.org/drawingml/2006/picture">
            <wp:extent cx="5943600" cy="4048300"/>
            <wp:docPr id="1" name="Picture 1"/>
            <wp:cNvGraphicFramePr>
              <a:graphicFrameLocks noChangeAspect="1"/>
            </wp:cNvGraphicFramePr>
            <a:graphic>
              <a:graphicData uri="http://schemas.openxmlformats.org/drawingml/2006/picture">
                <pic:pic>
                  <pic:nvPicPr>
                    <pic:cNvPr id="0" name="Figure1_round5.png"/>
                    <pic:cNvPicPr/>
                  </pic:nvPicPr>
                  <pic:blipFill>
                    <a:blip r:embed="rId9"/>
                    <a:stretch>
                      <a:fillRect/>
                    </a:stretch>
                  </pic:blipFill>
                  <pic:spPr>
                    <a:xfrm>
                      <a:off x="0" y="0"/>
                      <a:ext cx="5943600" cy="4048300"/>
                    </a:xfrm>
                    <a:prstGeom prst="rect"/>
                  </pic:spPr>
                </pic:pic>
              </a:graphicData>
            </a:graphic>
          </wp:inline>
        </w:drawing>
      </w:r>
    </w:p>
    <w:p>
      <w:r>
        <w:br w:type="page"/>
      </w:r>
    </w:p>
    <w:p>
      <w:r>
        <w:drawing>
          <wp:inline xmlns:a="http://schemas.openxmlformats.org/drawingml/2006/main" xmlns:pic="http://schemas.openxmlformats.org/drawingml/2006/picture">
            <wp:extent cx="5943600" cy="3878753"/>
            <wp:docPr id="2" name="Picture 2"/>
            <wp:cNvGraphicFramePr>
              <a:graphicFrameLocks noChangeAspect="1"/>
            </wp:cNvGraphicFramePr>
            <a:graphic>
              <a:graphicData uri="http://schemas.openxmlformats.org/drawingml/2006/picture">
                <pic:pic>
                  <pic:nvPicPr>
                    <pic:cNvPr id="0" name="Figure2_round5.png"/>
                    <pic:cNvPicPr/>
                  </pic:nvPicPr>
                  <pic:blipFill>
                    <a:blip r:embed="rId10"/>
                    <a:stretch>
                      <a:fillRect/>
                    </a:stretch>
                  </pic:blipFill>
                  <pic:spPr>
                    <a:xfrm>
                      <a:off x="0" y="0"/>
                      <a:ext cx="5943600" cy="3878753"/>
                    </a:xfrm>
                    <a:prstGeom prst="rect"/>
                  </pic:spPr>
                </pic:pic>
              </a:graphicData>
            </a:graphic>
          </wp:inline>
        </w:drawing>
      </w:r>
    </w:p>
    <w:p>
      <w:r>
        <w:br w:type="page"/>
      </w:r>
    </w:p>
    <w:p>
      <w:r>
        <w:drawing>
          <wp:inline xmlns:a="http://schemas.openxmlformats.org/drawingml/2006/main" xmlns:pic="http://schemas.openxmlformats.org/drawingml/2006/picture">
            <wp:extent cx="5943600" cy="3476384"/>
            <wp:docPr id="3" name="Picture 3"/>
            <wp:cNvGraphicFramePr>
              <a:graphicFrameLocks noChangeAspect="1"/>
            </wp:cNvGraphicFramePr>
            <a:graphic>
              <a:graphicData uri="http://schemas.openxmlformats.org/drawingml/2006/picture">
                <pic:pic>
                  <pic:nvPicPr>
                    <pic:cNvPr id="0" name="Figure3_round5.png"/>
                    <pic:cNvPicPr/>
                  </pic:nvPicPr>
                  <pic:blipFill>
                    <a:blip r:embed="rId11"/>
                    <a:stretch>
                      <a:fillRect/>
                    </a:stretch>
                  </pic:blipFill>
                  <pic:spPr>
                    <a:xfrm>
                      <a:off x="0" y="0"/>
                      <a:ext cx="5943600" cy="3476384"/>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