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Auditing chemical and cellular train–test overlap in perturbation-response prediction</w:t>
      </w:r>
    </w:p>
    <w:p>
      <w:r>
        <w:t>Da Lin, Ying Chen, Yue Liu, Yu Zhang</w:t>
      </w:r>
    </w:p>
    <w:p>
      <w:pPr>
        <w:pStyle w:val="Heading1"/>
      </w:pPr>
      <w:r>
        <w:t>Supplementary Methods</w:t>
      </w:r>
    </w:p>
    <w:p>
      <w:pPr>
        <w:pStyle w:val="Heading2"/>
      </w:pPr>
      <w:r>
        <w:t>1. Baseline-adjusted Pearson</w:t>
      </w:r>
    </w:p>
    <w:p>
      <w:r>
        <w:t>Baseline-adjusted Pearson is the probe score minus the global training-mean score for the same dataset, split, seed, and endpoint. Positive gains favor the probe. This score difference is not a residual-response correlation. Seed-level outputs are retained in the accompanying CSV files.</w:t>
      </w:r>
    </w:p>
    <w:p>
      <w:pPr>
        <w:pStyle w:val="Heading2"/>
      </w:pPr>
      <w:r>
        <w:t>2. Common-test-record comparisons</w:t>
      </w:r>
    </w:p>
    <w:p>
      <w:r>
        <w:t>Random and joint comparisons join saved per-record outputs on seed, model, and record identifier. Only records held out in both fits are retained; no model is refitted. One OpenProblems seed has an empty intersection and contributes no common-record contrast. The comparison fixes test identity but retains different fitted training distributions. It does not isolate a causal neighborhood effect. Bootstrap resampling uses 10,000 draws over finite seed-level values with generator seed 20261003. No independent record-level bootstrap is used. Intervals summarize sensitivity to split construction on the fixed observed cohorts; repeated seeds are not independent biological samples.</w:t>
      </w:r>
    </w:p>
    <w:p>
      <w:pPr>
        <w:pStyle w:val="Heading2"/>
      </w:pPr>
      <w:r>
        <w:t>3. Chemical representation and MoA coverage</w:t>
      </w:r>
    </w:p>
    <w:p>
      <w:r>
        <w:t>Chemical representation coverage was checked in the final treated cohorts with RDKit 2026.3.6, radius-2 1,024-bit Morgan fingerprints, and chirality disabled. Stored scaffold-label absence was counted independently of structure validity. A scaffold label can be absent despite a valid nonzero fingerprint. MoA keys are stripped lower-case drug labels. Coverage requires at least one nonmissing supplied annotation; it does not establish complete biological annotation. Sci-Plex MoA mapping was not assessed.</w:t>
      </w:r>
    </w:p>
    <w:p>
      <w:pPr>
        <w:pStyle w:val="Heading2"/>
      </w:pPr>
      <w:r>
        <w:t>4. Sci-Plex training-only gene-selection sensitivity</w:t>
      </w:r>
    </w:p>
    <w:p>
      <w:r>
        <w:t>For the training-only Sci-Plex sensitivity, cells were matched back to the original 2,200 qualifying perturbation/cell-line/dose/time records. Raw counts and log1p CP10K means were aggregated across all original gene coordinates. Within each manifest, genes were ranked by summed raw counts in treated training records only. The top 2,000 coordinates were used for both training and evaluation of the global mean and the existing ridge (alpha 10; 1,024-bit fingerprints; train-fitted one-hot cell-line encoding and dose standardization). Public matched cell-line control references remained part of the response definition. The test distribution did not enter gene ranking. All 30 seeds and three splits were evaluated. Because the gene panels differ, this is a sensitivity endpoint rather than a numerically interchangeable fixed-panel score.</w:t>
      </w:r>
    </w:p>
    <w:p>
      <w:r>
        <w:t>The full-gene reconstruction was checked against the previously saved fixed-panel response matrix, with maximum absolute discrepancy 3.9e-06. The original row-to-group membership exactly reproduced every stored pseudobulk cell count. No nonlinear predictor was retrained for this sensitivity analysis.</w:t>
      </w:r>
    </w:p>
    <w:p>
      <w:pPr>
        <w:pStyle w:val="Heading2"/>
      </w:pPr>
      <w:r>
        <w:t>5. Source files and computational environment</w:t>
      </w:r>
    </w:p>
    <w:p>
      <w:r>
        <w:t>The public revision archive includes cohort-specific matched-control evaluation and summarization scripts, Figure 3 source tables, the audit CLI, seed manifests, current master tables, input-contract schemas, and scripts and logs for the added revision analyses. The archived training-environment YAML is distinguished from the postprocessing environment recorded for this revision. These revision resources are publicly archived as Zenodo version 1 (https://doi.org/10.5281/zenodo.23116924), corresponding to GitHub release 1 at commit c644e76c6139b27313542434bf44ed22c8f53919.</w:t>
      </w:r>
    </w:p>
    <w:p>
      <w:r>
        <w:t>The MoA source is https://openproblems-bio.s3.amazonaws.com/public/neurips-2023-competition/moa_annotations.csv. The publicly downloaded bytes matched the local annotation SHA256 2ab652b6ec33239b5e4172176fb8a68980e7066b0fae9fd54a12efc8f920d30e. Retrieval instructions and the supplied file are included; upstream access and reuse terms continue to apply.</w:t>
      </w:r>
    </w:p>
    <w:p>
      <w:pPr>
        <w:pStyle w:val="Heading2"/>
      </w:pPr>
      <w:r>
        <w:t>6. Model input-contract details</w:t>
      </w:r>
    </w:p>
    <w:p>
      <w:r>
        <w:t>Fixed manifests assign records to train, test, or excluded. Random-control draws use the same seed and fixed random manifest. Joint metadata supply target counts and the selected composition strata, not record identities for random-control partitions. Integrity checks cover aligned identifiers, vector length, and exclusion of test or excluded records from fitting, normalization, validation, early stopping, and hyperparameter selection.</w:t>
      </w:r>
    </w:p>
    <w:p>
      <w:r>
        <w:t>The control-conditioned nonlinear probe uses basal/control expression, a 1,024-bit fingerprint, log10(dose + 1), and the fixed three-cell-line input vocabulary. Validation uses training records only. For this probe, cellular holdout therefore means that treated-response records from the held-out cell line are absent from training, while its measured basal/control profile remains available as an input. This setting is not a zero-shot task for a completely unobserved cellular context. It is not a full reproduction of TranSiGen. PRnet-interface outputs remain adaptation-status results in the public revision archive.</w:t>
      </w:r>
    </w:p>
    <w:p>
      <w:pPr>
        <w:keepNext/>
        <w:keepLines/>
        <w:pageBreakBefore/>
      </w:pPr>
      <w:r>
        <w:t>Table S1. Paired Pearson gain over the global training mean</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rPr>
          <w:tblHeader/>
          <w:cantSplit/>
          <w:cantSplit/>
          <w:tblHeader/>
        </w:trPr>
        <w:tc>
          <w:tcPr>
            <w:tcW w:type="dxa" w:w="1481"/>
          </w:tcPr>
          <w:p>
            <w:pPr>
              <w:spacing w:after="60"/>
            </w:pPr>
            <w:r>
              <w:rPr>
                <w:sz w:val="16"/>
              </w:rPr>
              <w:t>Dataset</w:t>
            </w:r>
          </w:p>
        </w:tc>
        <w:tc>
          <w:tcPr>
            <w:tcW w:type="dxa" w:w="1481"/>
          </w:tcPr>
          <w:p>
            <w:pPr>
              <w:spacing w:after="60"/>
            </w:pPr>
            <w:r>
              <w:rPr>
                <w:sz w:val="16"/>
              </w:rPr>
              <w:t>Probe</w:t>
            </w:r>
          </w:p>
        </w:tc>
        <w:tc>
          <w:tcPr>
            <w:tcW w:type="dxa" w:w="1481"/>
          </w:tcPr>
          <w:p>
            <w:pPr>
              <w:spacing w:after="60"/>
            </w:pPr>
            <w:r>
              <w:rPr>
                <w:sz w:val="16"/>
              </w:rPr>
              <w:t>Split</w:t>
            </w:r>
          </w:p>
        </w:tc>
        <w:tc>
          <w:tcPr>
            <w:tcW w:type="dxa" w:w="1481"/>
          </w:tcPr>
          <w:p>
            <w:pPr>
              <w:spacing w:after="60"/>
            </w:pPr>
            <w:r>
              <w:rPr>
                <w:sz w:val="16"/>
              </w:rPr>
              <w:t>Endpoint</w:t>
            </w:r>
          </w:p>
        </w:tc>
        <w:tc>
          <w:tcPr>
            <w:tcW w:type="dxa" w:w="1481"/>
          </w:tcPr>
          <w:p>
            <w:pPr>
              <w:spacing w:after="60"/>
            </w:pPr>
            <w:r>
              <w:rPr>
                <w:sz w:val="16"/>
              </w:rPr>
              <w:t>Seeds</w:t>
            </w:r>
          </w:p>
        </w:tc>
        <w:tc>
          <w:tcPr>
            <w:tcW w:type="dxa" w:w="1481"/>
          </w:tcPr>
          <w:p>
            <w:pPr>
              <w:spacing w:after="60"/>
            </w:pPr>
            <w:r>
              <w:rPr>
                <w:sz w:val="16"/>
              </w:rPr>
              <w:t>Gain</w:t>
            </w:r>
          </w:p>
        </w:tc>
        <w:tc>
          <w:tcPr>
            <w:tcW w:type="dxa" w:w="1481"/>
          </w:tcPr>
          <w:p>
            <w:r>
              <w:t>95% split-seed bootstrap interval</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0.095</w:t>
            </w:r>
          </w:p>
        </w:tc>
        <w:tc>
          <w:tcPr>
            <w:tcW w:type="dxa" w:w="1481"/>
          </w:tcPr>
          <w:p>
            <w:pPr>
              <w:spacing w:after="60"/>
            </w:pPr>
            <w:r>
              <w:rPr>
                <w:sz w:val="16"/>
              </w:rPr>
              <w:t>0.093 to 0.096</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0.099</w:t>
            </w:r>
          </w:p>
        </w:tc>
        <w:tc>
          <w:tcPr>
            <w:tcW w:type="dxa" w:w="1481"/>
          </w:tcPr>
          <w:p>
            <w:pPr>
              <w:spacing w:after="60"/>
            </w:pPr>
            <w:r>
              <w:rPr>
                <w:sz w:val="16"/>
              </w:rPr>
              <w:t>0.097 to 0.101</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0.073</w:t>
            </w:r>
          </w:p>
        </w:tc>
        <w:tc>
          <w:tcPr>
            <w:tcW w:type="dxa" w:w="1481"/>
          </w:tcPr>
          <w:p>
            <w:pPr>
              <w:spacing w:after="60"/>
            </w:pPr>
            <w:r>
              <w:rPr>
                <w:sz w:val="16"/>
              </w:rPr>
              <w:t>0.072 to 0.074</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0.085</w:t>
            </w:r>
          </w:p>
        </w:tc>
        <w:tc>
          <w:tcPr>
            <w:tcW w:type="dxa" w:w="1481"/>
          </w:tcPr>
          <w:p>
            <w:pPr>
              <w:spacing w:after="60"/>
            </w:pPr>
            <w:r>
              <w:rPr>
                <w:sz w:val="16"/>
              </w:rPr>
              <w:t>0.081 to 0.090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0.053</w:t>
            </w:r>
          </w:p>
        </w:tc>
        <w:tc>
          <w:tcPr>
            <w:tcW w:type="dxa" w:w="1481"/>
          </w:tcPr>
          <w:p>
            <w:pPr>
              <w:spacing w:after="60"/>
            </w:pPr>
            <w:r>
              <w:rPr>
                <w:sz w:val="16"/>
              </w:rPr>
              <w:t>0.050 to 0.056</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0.094</w:t>
            </w:r>
          </w:p>
        </w:tc>
        <w:tc>
          <w:tcPr>
            <w:tcW w:type="dxa" w:w="1481"/>
          </w:tcPr>
          <w:p>
            <w:pPr>
              <w:spacing w:after="60"/>
            </w:pPr>
            <w:r>
              <w:rPr>
                <w:sz w:val="16"/>
              </w:rPr>
              <w:t>0.092 to 0.095</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0.098</w:t>
            </w:r>
          </w:p>
        </w:tc>
        <w:tc>
          <w:tcPr>
            <w:tcW w:type="dxa" w:w="1481"/>
          </w:tcPr>
          <w:p>
            <w:pPr>
              <w:spacing w:after="60"/>
            </w:pPr>
            <w:r>
              <w:rPr>
                <w:sz w:val="16"/>
              </w:rPr>
              <w:t>0.096 to 0.099</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0.073</w:t>
            </w:r>
          </w:p>
        </w:tc>
        <w:tc>
          <w:tcPr>
            <w:tcW w:type="dxa" w:w="1481"/>
          </w:tcPr>
          <w:p>
            <w:pPr>
              <w:spacing w:after="60"/>
            </w:pPr>
            <w:r>
              <w:rPr>
                <w:sz w:val="16"/>
              </w:rPr>
              <w:t>0.072 to 0.074</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-0.079</w:t>
            </w:r>
          </w:p>
        </w:tc>
        <w:tc>
          <w:tcPr>
            <w:tcW w:type="dxa" w:w="1481"/>
          </w:tcPr>
          <w:p>
            <w:pPr>
              <w:spacing w:after="60"/>
            </w:pPr>
            <w:r>
              <w:rPr>
                <w:sz w:val="16"/>
              </w:rPr>
              <w:t>-0.087 to -0.072</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-0.054</w:t>
            </w:r>
          </w:p>
        </w:tc>
        <w:tc>
          <w:tcPr>
            <w:tcW w:type="dxa" w:w="1481"/>
          </w:tcPr>
          <w:p>
            <w:pPr>
              <w:spacing w:after="60"/>
            </w:pPr>
            <w:r>
              <w:rPr>
                <w:sz w:val="16"/>
              </w:rPr>
              <w:t>-0.059 to -0.049</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0.193</w:t>
            </w:r>
          </w:p>
        </w:tc>
        <w:tc>
          <w:tcPr>
            <w:tcW w:type="dxa" w:w="1481"/>
          </w:tcPr>
          <w:p>
            <w:pPr>
              <w:spacing w:after="60"/>
            </w:pPr>
            <w:r>
              <w:rPr>
                <w:sz w:val="16"/>
              </w:rPr>
              <w:t>0.189 to 0.197</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0.128</w:t>
            </w:r>
          </w:p>
        </w:tc>
        <w:tc>
          <w:tcPr>
            <w:tcW w:type="dxa" w:w="1481"/>
          </w:tcPr>
          <w:p>
            <w:pPr>
              <w:spacing w:after="60"/>
            </w:pPr>
            <w:r>
              <w:rPr>
                <w:sz w:val="16"/>
              </w:rPr>
              <w:t>0.125 to 0.131</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0.014</w:t>
            </w:r>
          </w:p>
        </w:tc>
        <w:tc>
          <w:tcPr>
            <w:tcW w:type="dxa" w:w="1481"/>
          </w:tcPr>
          <w:p>
            <w:pPr>
              <w:spacing w:after="60"/>
            </w:pPr>
            <w:r>
              <w:rPr>
                <w:sz w:val="16"/>
              </w:rPr>
              <w:t>0.009 to 0.019</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-0.004 to 0.004</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-0.080</w:t>
            </w:r>
          </w:p>
        </w:tc>
        <w:tc>
          <w:tcPr>
            <w:tcW w:type="dxa" w:w="1481"/>
          </w:tcPr>
          <w:p>
            <w:pPr>
              <w:spacing w:after="60"/>
            </w:pPr>
            <w:r>
              <w:rPr>
                <w:sz w:val="16"/>
              </w:rPr>
              <w:t>-0.087 to -0.072</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-0.054</w:t>
            </w:r>
          </w:p>
        </w:tc>
        <w:tc>
          <w:tcPr>
            <w:tcW w:type="dxa" w:w="1481"/>
          </w:tcPr>
          <w:p>
            <w:pPr>
              <w:spacing w:after="60"/>
            </w:pPr>
            <w:r>
              <w:rPr>
                <w:sz w:val="16"/>
              </w:rPr>
              <w:t>-0.059 to -0.049</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0.098</w:t>
            </w:r>
          </w:p>
        </w:tc>
        <w:tc>
          <w:tcPr>
            <w:tcW w:type="dxa" w:w="1481"/>
          </w:tcPr>
          <w:p>
            <w:pPr>
              <w:spacing w:after="60"/>
            </w:pPr>
            <w:r>
              <w:rPr>
                <w:sz w:val="16"/>
              </w:rPr>
              <w:t>0.094 to 0.103</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0.061</w:t>
            </w:r>
          </w:p>
        </w:tc>
        <w:tc>
          <w:tcPr>
            <w:tcW w:type="dxa" w:w="1481"/>
          </w:tcPr>
          <w:p>
            <w:pPr>
              <w:spacing w:after="60"/>
            </w:pPr>
            <w:r>
              <w:rPr>
                <w:sz w:val="16"/>
              </w:rPr>
              <w:t>0.058 to 0.065</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-0.096</w:t>
            </w:r>
          </w:p>
        </w:tc>
        <w:tc>
          <w:tcPr>
            <w:tcW w:type="dxa" w:w="1481"/>
          </w:tcPr>
          <w:p>
            <w:pPr>
              <w:spacing w:after="60"/>
            </w:pPr>
            <w:r>
              <w:rPr>
                <w:sz w:val="16"/>
              </w:rPr>
              <w:t>-0.102 to -0.089</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-0.074 to -0.065</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-0.059</w:t>
            </w:r>
          </w:p>
        </w:tc>
        <w:tc>
          <w:tcPr>
            <w:tcW w:type="dxa" w:w="1481"/>
          </w:tcPr>
          <w:p>
            <w:pPr>
              <w:spacing w:after="60"/>
            </w:pPr>
            <w:r>
              <w:rPr>
                <w:sz w:val="16"/>
              </w:rPr>
              <w:t>-0.070 to -0.048</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0.071</w:t>
            </w:r>
          </w:p>
        </w:tc>
        <w:tc>
          <w:tcPr>
            <w:tcW w:type="dxa" w:w="1481"/>
          </w:tcPr>
          <w:p>
            <w:pPr>
              <w:spacing w:after="60"/>
            </w:pPr>
            <w:r>
              <w:rPr>
                <w:sz w:val="16"/>
              </w:rPr>
              <w:t>0.067 to 0.074</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0.051</w:t>
            </w:r>
          </w:p>
        </w:tc>
        <w:tc>
          <w:tcPr>
            <w:tcW w:type="dxa" w:w="1481"/>
          </w:tcPr>
          <w:p>
            <w:pPr>
              <w:spacing w:after="60"/>
            </w:pPr>
            <w:r>
              <w:rPr>
                <w:sz w:val="16"/>
              </w:rPr>
              <w:t>0.048 to 0.054</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0.078</w:t>
            </w:r>
          </w:p>
        </w:tc>
        <w:tc>
          <w:tcPr>
            <w:tcW w:type="dxa" w:w="1481"/>
          </w:tcPr>
          <w:p>
            <w:pPr>
              <w:spacing w:after="60"/>
            </w:pPr>
            <w:r>
              <w:rPr>
                <w:sz w:val="16"/>
              </w:rPr>
              <w:t>0.076 to 0.080</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-0.016</w:t>
            </w:r>
          </w:p>
        </w:tc>
        <w:tc>
          <w:tcPr>
            <w:tcW w:type="dxa" w:w="1481"/>
          </w:tcPr>
          <w:p>
            <w:pPr>
              <w:spacing w:after="60"/>
            </w:pPr>
            <w:r>
              <w:rPr>
                <w:sz w:val="16"/>
              </w:rPr>
              <w:t>-0.020 to -0.012</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0.129</w:t>
            </w:r>
          </w:p>
        </w:tc>
        <w:tc>
          <w:tcPr>
            <w:tcW w:type="dxa" w:w="1481"/>
          </w:tcPr>
          <w:p>
            <w:pPr>
              <w:spacing w:after="60"/>
            </w:pPr>
            <w:r>
              <w:rPr>
                <w:sz w:val="16"/>
              </w:rPr>
              <w:t>0.128 to 0.131</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0.028</w:t>
            </w:r>
          </w:p>
        </w:tc>
        <w:tc>
          <w:tcPr>
            <w:tcW w:type="dxa" w:w="1481"/>
          </w:tcPr>
          <w:p>
            <w:pPr>
              <w:spacing w:after="60"/>
            </w:pPr>
            <w:r>
              <w:rPr>
                <w:sz w:val="16"/>
              </w:rPr>
              <w:t>0.024 to 0.032</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-0.017</w:t>
            </w:r>
          </w:p>
        </w:tc>
        <w:tc>
          <w:tcPr>
            <w:tcW w:type="dxa" w:w="1481"/>
          </w:tcPr>
          <w:p>
            <w:pPr>
              <w:spacing w:after="60"/>
            </w:pPr>
            <w:r>
              <w:rPr>
                <w:sz w:val="16"/>
              </w:rPr>
              <w:t>-0.021 to -0.013</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0.081</w:t>
            </w:r>
          </w:p>
        </w:tc>
        <w:tc>
          <w:tcPr>
            <w:tcW w:type="dxa" w:w="1481"/>
          </w:tcPr>
          <w:p>
            <w:pPr>
              <w:spacing w:after="60"/>
            </w:pPr>
            <w:r>
              <w:rPr>
                <w:sz w:val="16"/>
              </w:rPr>
              <w:t>0.079 to 0.083</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-0.034</w:t>
            </w:r>
          </w:p>
        </w:tc>
        <w:tc>
          <w:tcPr>
            <w:tcW w:type="dxa" w:w="1481"/>
          </w:tcPr>
          <w:p>
            <w:pPr>
              <w:spacing w:after="60"/>
            </w:pPr>
            <w:r>
              <w:rPr>
                <w:sz w:val="16"/>
              </w:rPr>
              <w:t>-0.039 to -0.030</w:t>
            </w:r>
          </w:p>
        </w:tc>
      </w:tr>
    </w:tbl>
    <w:p>
      <w:r>
        <w:t>Intervals summarize sensitivity to split construction on the fixed observed cohorts; repeated seeds are not independent biological samples.</w:t>
      </w:r>
    </w:p>
    <w:p>
      <w:pPr>
        <w:keepNext/>
        <w:keepLines/>
      </w:pPr>
      <w:r>
        <w:t>Table S2. Random-minus-joint contrasts on common test identifiers only</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rPr>
          <w:tblHeader/>
          <w:cantSplit/>
          <w:cantSplit/>
          <w:tblHeader/>
        </w:trPr>
        <w:tc>
          <w:tcPr>
            <w:tcW w:type="dxa" w:w="1481"/>
          </w:tcPr>
          <w:p>
            <w:pPr>
              <w:spacing w:after="60"/>
            </w:pPr>
            <w:r>
              <w:rPr>
                <w:sz w:val="16"/>
              </w:rPr>
              <w:t>Dataset</w:t>
            </w:r>
          </w:p>
        </w:tc>
        <w:tc>
          <w:tcPr>
            <w:tcW w:type="dxa" w:w="1481"/>
          </w:tcPr>
          <w:p>
            <w:pPr>
              <w:spacing w:after="60"/>
            </w:pPr>
            <w:r>
              <w:rPr>
                <w:sz w:val="16"/>
              </w:rPr>
              <w:t>Probe</w:t>
            </w:r>
          </w:p>
        </w:tc>
        <w:tc>
          <w:tcPr>
            <w:tcW w:type="dxa" w:w="1481"/>
          </w:tcPr>
          <w:p>
            <w:pPr>
              <w:spacing w:after="60"/>
            </w:pPr>
            <w:r>
              <w:rPr>
                <w:sz w:val="16"/>
              </w:rPr>
              <w:t>Endpoint</w:t>
            </w:r>
          </w:p>
        </w:tc>
        <w:tc>
          <w:tcPr>
            <w:tcW w:type="dxa" w:w="1481"/>
          </w:tcPr>
          <w:p>
            <w:pPr>
              <w:spacing w:after="60"/>
            </w:pPr>
            <w:r>
              <w:rPr>
                <w:sz w:val="16"/>
              </w:rPr>
              <w:t>Seeds</w:t>
            </w:r>
          </w:p>
        </w:tc>
        <w:tc>
          <w:tcPr>
            <w:tcW w:type="dxa" w:w="1481"/>
          </w:tcPr>
          <w:p>
            <w:pPr>
              <w:spacing w:after="60"/>
            </w:pPr>
            <w:r>
              <w:rPr>
                <w:sz w:val="16"/>
              </w:rPr>
              <w:t>Common n</w:t>
            </w:r>
          </w:p>
        </w:tc>
        <w:tc>
          <w:tcPr>
            <w:tcW w:type="dxa" w:w="1481"/>
          </w:tcPr>
          <w:p>
            <w:pPr>
              <w:spacing w:after="60"/>
            </w:pPr>
            <w:r>
              <w:rPr>
                <w:sz w:val="16"/>
              </w:rPr>
              <w:t>Difference</w:t>
            </w:r>
          </w:p>
        </w:tc>
        <w:tc>
          <w:tcPr>
            <w:tcW w:type="dxa" w:w="1481"/>
          </w:tcPr>
          <w:p>
            <w:r>
              <w:t>95% split-seed bootstrap interval</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0.200</w:t>
            </w:r>
          </w:p>
        </w:tc>
        <w:tc>
          <w:tcPr>
            <w:tcW w:type="dxa" w:w="1481"/>
          </w:tcPr>
          <w:p>
            <w:pPr>
              <w:spacing w:after="60"/>
            </w:pPr>
            <w:r>
              <w:rPr>
                <w:sz w:val="16"/>
              </w:rPr>
              <w:t>0.186 to 0.214</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0.139</w:t>
            </w:r>
          </w:p>
        </w:tc>
        <w:tc>
          <w:tcPr>
            <w:tcW w:type="dxa" w:w="1481"/>
          </w:tcPr>
          <w:p>
            <w:pPr>
              <w:spacing w:after="60"/>
            </w:pPr>
            <w:r>
              <w:rPr>
                <w:sz w:val="16"/>
              </w:rPr>
              <w:t>0.133 to 0.146</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0.188</w:t>
            </w:r>
          </w:p>
        </w:tc>
        <w:tc>
          <w:tcPr>
            <w:tcW w:type="dxa" w:w="1481"/>
          </w:tcPr>
          <w:p>
            <w:pPr>
              <w:spacing w:after="60"/>
            </w:pPr>
            <w:r>
              <w:rPr>
                <w:sz w:val="16"/>
              </w:rPr>
              <w:t>0.163 to 0.214</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0.125</w:t>
            </w:r>
          </w:p>
        </w:tc>
        <w:tc>
          <w:tcPr>
            <w:tcW w:type="dxa" w:w="1481"/>
          </w:tcPr>
          <w:p>
            <w:pPr>
              <w:spacing w:after="60"/>
            </w:pPr>
            <w:r>
              <w:rPr>
                <w:sz w:val="16"/>
              </w:rPr>
              <w:t>0.108 to 0.142</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0.103</w:t>
            </w:r>
          </w:p>
        </w:tc>
        <w:tc>
          <w:tcPr>
            <w:tcW w:type="dxa" w:w="1481"/>
          </w:tcPr>
          <w:p>
            <w:pPr>
              <w:spacing w:after="60"/>
            </w:pPr>
            <w:r>
              <w:rPr>
                <w:sz w:val="16"/>
              </w:rPr>
              <w:t>0.096 to 0.110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0.068</w:t>
            </w:r>
          </w:p>
        </w:tc>
        <w:tc>
          <w:tcPr>
            <w:tcW w:type="dxa" w:w="1481"/>
          </w:tcPr>
          <w:p>
            <w:pPr>
              <w:spacing w:after="60"/>
            </w:pPr>
            <w:r>
              <w:rPr>
                <w:sz w:val="16"/>
              </w:rPr>
              <w:t>0.064 to 0.073</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0.199</w:t>
            </w:r>
          </w:p>
        </w:tc>
        <w:tc>
          <w:tcPr>
            <w:tcW w:type="dxa" w:w="1481"/>
          </w:tcPr>
          <w:p>
            <w:pPr>
              <w:spacing w:after="60"/>
            </w:pPr>
            <w:r>
              <w:rPr>
                <w:sz w:val="16"/>
              </w:rPr>
              <w:t>0.186 to 0.212</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0.140</w:t>
            </w:r>
          </w:p>
        </w:tc>
        <w:tc>
          <w:tcPr>
            <w:tcW w:type="dxa" w:w="1481"/>
          </w:tcPr>
          <w:p>
            <w:pPr>
              <w:spacing w:after="60"/>
            </w:pPr>
            <w:r>
              <w:rPr>
                <w:sz w:val="16"/>
              </w:rPr>
              <w:t>0.133 to 0.146</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0.369</w:t>
            </w:r>
          </w:p>
        </w:tc>
        <w:tc>
          <w:tcPr>
            <w:tcW w:type="dxa" w:w="1481"/>
          </w:tcPr>
          <w:p>
            <w:pPr>
              <w:spacing w:after="60"/>
            </w:pPr>
            <w:r>
              <w:rPr>
                <w:sz w:val="16"/>
              </w:rPr>
              <w:t>0.347 to 0.390</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0.250</w:t>
            </w:r>
          </w:p>
        </w:tc>
        <w:tc>
          <w:tcPr>
            <w:tcW w:type="dxa" w:w="1481"/>
          </w:tcPr>
          <w:p>
            <w:pPr>
              <w:spacing w:after="60"/>
            </w:pPr>
            <w:r>
              <w:rPr>
                <w:sz w:val="16"/>
              </w:rPr>
              <w:t>0.235 to 0.265</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0.271</w:t>
            </w:r>
          </w:p>
        </w:tc>
        <w:tc>
          <w:tcPr>
            <w:tcW w:type="dxa" w:w="1481"/>
          </w:tcPr>
          <w:p>
            <w:pPr>
              <w:spacing w:after="60"/>
            </w:pPr>
            <w:r>
              <w:rPr>
                <w:sz w:val="16"/>
              </w:rPr>
              <w:t>0.248 to 0.294</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0.181</w:t>
            </w:r>
          </w:p>
        </w:tc>
        <w:tc>
          <w:tcPr>
            <w:tcW w:type="dxa" w:w="1481"/>
          </w:tcPr>
          <w:p>
            <w:pPr>
              <w:spacing w:after="60"/>
            </w:pPr>
            <w:r>
              <w:rPr>
                <w:sz w:val="16"/>
              </w:rPr>
              <w:t>0.166 to 0.196</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0.158</w:t>
            </w:r>
          </w:p>
        </w:tc>
        <w:tc>
          <w:tcPr>
            <w:tcW w:type="dxa" w:w="1481"/>
          </w:tcPr>
          <w:p>
            <w:pPr>
              <w:spacing w:after="60"/>
            </w:pPr>
            <w:r>
              <w:rPr>
                <w:sz w:val="16"/>
              </w:rPr>
              <w:t>0.147 to 0.168</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0.159</w:t>
            </w:r>
          </w:p>
        </w:tc>
        <w:tc>
          <w:tcPr>
            <w:tcW w:type="dxa" w:w="1481"/>
          </w:tcPr>
          <w:p>
            <w:pPr>
              <w:spacing w:after="60"/>
            </w:pPr>
            <w:r>
              <w:rPr>
                <w:sz w:val="16"/>
              </w:rPr>
              <w:t>0.149 to 0.169</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0.083</w:t>
            </w:r>
          </w:p>
        </w:tc>
        <w:tc>
          <w:tcPr>
            <w:tcW w:type="dxa" w:w="1481"/>
          </w:tcPr>
          <w:p>
            <w:pPr>
              <w:spacing w:after="60"/>
            </w:pPr>
            <w:r>
              <w:rPr>
                <w:sz w:val="16"/>
              </w:rPr>
              <w:t>0.079 to 0.087</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0.229</w:t>
            </w:r>
          </w:p>
        </w:tc>
        <w:tc>
          <w:tcPr>
            <w:tcW w:type="dxa" w:w="1481"/>
          </w:tcPr>
          <w:p>
            <w:pPr>
              <w:spacing w:after="60"/>
            </w:pPr>
            <w:r>
              <w:rPr>
                <w:sz w:val="16"/>
              </w:rPr>
              <w:t>0.216 to 0.241</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0.180</w:t>
            </w:r>
          </w:p>
        </w:tc>
        <w:tc>
          <w:tcPr>
            <w:tcW w:type="dxa" w:w="1481"/>
          </w:tcPr>
          <w:p>
            <w:pPr>
              <w:spacing w:after="60"/>
            </w:pPr>
            <w:r>
              <w:rPr>
                <w:sz w:val="16"/>
              </w:rPr>
              <w:t>0.168 to 0.193</w:t>
            </w:r>
          </w:p>
        </w:tc>
      </w:tr>
    </w:tbl>
    <w:p>
      <w:r>
        <w:t>Intervals summarize sensitivity to split construction on the fixed observed cohorts; repeated seeds are not independent biological samples.</w:t>
      </w:r>
    </w:p>
    <w:p>
      <w:pPr>
        <w:keepNext/>
        <w:keepLines/>
      </w:pPr>
      <w:r>
        <w:t>Table S3. Whole-cohort chemical representation and MoA coverage</w:t>
      </w:r>
    </w:p>
    <w:tbl>
      <w:tblPr>
        <w:tblStyle w:val="TableGrid"/>
        <w:tblW w:type="auto" w:w="0"/>
        <w:tblLook w:firstColumn="1" w:firstRow="1" w:lastColumn="0" w:lastRow="0" w:noHBand="0" w:noVBand="1" w:val="04A0"/>
      </w:tblPr>
      <w:tblGrid>
        <w:gridCol w:w="2592"/>
        <w:gridCol w:w="2592"/>
        <w:gridCol w:w="2592"/>
        <w:gridCol w:w="2592"/>
      </w:tblGrid>
      <w:tr>
        <w:trPr>
          <w:tblHeader/>
          <w:cantSplit/>
          <w:cantSplit/>
          <w:tblHeader/>
        </w:trPr>
        <w:tc>
          <w:tcPr>
            <w:tcW w:type="dxa" w:w="2592"/>
          </w:tcPr>
          <w:p>
            <w:pPr>
              <w:spacing w:after="60"/>
            </w:pPr>
            <w:r>
              <w:rPr>
                <w:sz w:val="16"/>
              </w:rPr>
              <w:t>Dataset</w:t>
            </w:r>
          </w:p>
        </w:tc>
        <w:tc>
          <w:tcPr>
            <w:tcW w:type="dxa" w:w="2592"/>
          </w:tcPr>
          <w:p>
            <w:pPr>
              <w:spacing w:after="60"/>
            </w:pPr>
            <w:r>
              <w:rPr>
                <w:sz w:val="16"/>
              </w:rPr>
              <w:t>Field</w:t>
            </w:r>
          </w:p>
        </w:tc>
        <w:tc>
          <w:tcPr>
            <w:tcW w:type="dxa" w:w="2592"/>
          </w:tcPr>
          <w:p>
            <w:pPr>
              <w:spacing w:after="60"/>
            </w:pPr>
            <w:r>
              <w:rPr>
                <w:sz w:val="16"/>
              </w:rPr>
              <w:t>Drugs</w:t>
            </w:r>
          </w:p>
        </w:tc>
        <w:tc>
          <w:tcPr>
            <w:tcW w:type="dxa" w:w="2592"/>
          </w:tcPr>
          <w:p>
            <w:pPr>
              <w:spacing w:after="60"/>
            </w:pPr>
            <w:r>
              <w:rPr>
                <w:sz w:val="16"/>
              </w:rPr>
              <w:t>Records</w:t>
            </w:r>
          </w:p>
        </w:tc>
      </w:tr>
      <w:tr>
        <w:trPr>
          <w:cantSplit/>
          <w:cantSplit/>
        </w:trPr>
        <w:tc>
          <w:tcPr>
            <w:tcW w:type="dxa" w:w="2592"/>
          </w:tcPr>
          <w:p>
            <w:pPr>
              <w:spacing w:after="60"/>
            </w:pPr>
            <w:r>
              <w:rPr>
                <w:sz w:val="16"/>
              </w:rPr>
              <w:t>OpenProblems</w:t>
            </w:r>
          </w:p>
        </w:tc>
        <w:tc>
          <w:tcPr>
            <w:tcW w:type="dxa" w:w="2592"/>
          </w:tcPr>
          <w:p>
            <w:pPr>
              <w:spacing w:after="60"/>
            </w:pPr>
            <w:r>
              <w:rPr>
                <w:sz w:val="16"/>
              </w:rPr>
              <w:t>missing smiles</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invalid smiles</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zero fingerprint</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missing scaffold</w:t>
            </w:r>
          </w:p>
        </w:tc>
        <w:tc>
          <w:tcPr>
            <w:tcW w:type="dxa" w:w="2592"/>
          </w:tcPr>
          <w:p>
            <w:pPr>
              <w:spacing w:after="60"/>
            </w:pPr>
            <w:r>
              <w:rPr>
                <w:sz w:val="16"/>
              </w:rPr>
              <w:t>2/138</w:t>
            </w:r>
          </w:p>
        </w:tc>
        <w:tc>
          <w:tcPr>
            <w:tcW w:type="dxa" w:w="2592"/>
          </w:tcPr>
          <w:p>
            <w:pPr>
              <w:spacing w:after="60"/>
            </w:pPr>
            <w:r>
              <w:rPr>
                <w:sz w:val="16"/>
              </w:rPr>
              <w:t>8/545</w:t>
            </w:r>
          </w:p>
        </w:tc>
      </w:tr>
      <w:tr>
        <w:trPr>
          <w:cantSplit/>
          <w:cantSplit/>
        </w:trPr>
        <w:tc>
          <w:tcPr>
            <w:tcW w:type="dxa" w:w="2592"/>
          </w:tcPr>
          <w:p>
            <w:pPr>
              <w:spacing w:after="60"/>
            </w:pPr>
            <w:r>
              <w:rPr>
                <w:sz w:val="16"/>
              </w:rPr>
              <w:t>OpenProblems</w:t>
            </w:r>
          </w:p>
        </w:tc>
        <w:tc>
          <w:tcPr>
            <w:tcW w:type="dxa" w:w="2592"/>
          </w:tcPr>
          <w:p>
            <w:pPr>
              <w:spacing w:after="60"/>
            </w:pPr>
            <w:r>
              <w:rPr>
                <w:sz w:val="16"/>
              </w:rPr>
              <w:t>moa annotated</w:t>
            </w:r>
          </w:p>
        </w:tc>
        <w:tc>
          <w:tcPr>
            <w:tcW w:type="dxa" w:w="2592"/>
          </w:tcPr>
          <w:p>
            <w:pPr>
              <w:spacing w:after="60"/>
            </w:pPr>
            <w:r>
              <w:rPr>
                <w:sz w:val="16"/>
              </w:rPr>
              <w:t>138/138</w:t>
            </w:r>
          </w:p>
        </w:tc>
        <w:tc>
          <w:tcPr>
            <w:tcW w:type="dxa" w:w="2592"/>
          </w:tcPr>
          <w:p>
            <w:pPr>
              <w:spacing w:after="60"/>
            </w:pPr>
            <w:r>
              <w:rPr>
                <w:sz w:val="16"/>
              </w:rPr>
              <w:t>545/545</w:t>
            </w:r>
          </w:p>
        </w:tc>
      </w:tr>
      <w:tr>
        <w:trPr>
          <w:cantSplit/>
          <w:cantSplit/>
        </w:trPr>
        <w:tc>
          <w:tcPr>
            <w:tcW w:type="dxa" w:w="2592"/>
          </w:tcPr>
          <w:p>
            <w:pPr>
              <w:spacing w:after="60"/>
            </w:pPr>
            <w:r>
              <w:rPr>
                <w:sz w:val="16"/>
              </w:rPr>
              <w:t>Sci-Plex 3</w:t>
            </w:r>
          </w:p>
        </w:tc>
        <w:tc>
          <w:tcPr>
            <w:tcW w:type="dxa" w:w="2592"/>
          </w:tcPr>
          <w:p>
            <w:pPr>
              <w:spacing w:after="60"/>
            </w:pPr>
            <w:r>
              <w:rPr>
                <w:sz w:val="16"/>
              </w:rPr>
              <w:t>missing smiles</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invalid smiles</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zero fingerprint</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missing scaffold</w:t>
            </w:r>
          </w:p>
        </w:tc>
        <w:tc>
          <w:tcPr>
            <w:tcW w:type="dxa" w:w="2592"/>
          </w:tcPr>
          <w:p>
            <w:pPr>
              <w:spacing w:after="60"/>
            </w:pPr>
            <w:r>
              <w:rPr>
                <w:sz w:val="16"/>
              </w:rPr>
              <w:t>6/188</w:t>
            </w:r>
          </w:p>
        </w:tc>
        <w:tc>
          <w:tcPr>
            <w:tcW w:type="dxa" w:w="2592"/>
          </w:tcPr>
          <w:p>
            <w:pPr>
              <w:spacing w:after="60"/>
            </w:pPr>
            <w:r>
              <w:rPr>
                <w:sz w:val="16"/>
              </w:rPr>
              <w:t>72/2200</w:t>
            </w:r>
          </w:p>
        </w:tc>
      </w:tr>
    </w:tbl>
    <w:p>
      <w:r>
        <w:t>Sci-Plex MoA mapping was not assessed. Counts refer to the complete final cohorts, not seed-averaged test subsets.</w:t>
      </w:r>
    </w:p>
    <w:p>
      <w:pPr>
        <w:keepNext/>
        <w:keepLines/>
        <w:pageBreakBefore/>
      </w:pPr>
      <w:r>
        <w:t>Table S4. Sci-Plex training-only top-2,000-gene sensitivity</w:t>
      </w:r>
    </w:p>
    <w:tbl>
      <w:tblPr>
        <w:tblStyle w:val="TableGrid"/>
        <w:tblW w:type="auto" w:w="0"/>
        <w:tblLook w:firstColumn="1" w:firstRow="1" w:lastColumn="0" w:lastRow="0" w:noHBand="0" w:noVBand="1" w:val="04A0"/>
      </w:tblPr>
      <w:tblGrid>
        <w:gridCol w:w="2074"/>
        <w:gridCol w:w="2074"/>
        <w:gridCol w:w="2074"/>
        <w:gridCol w:w="2074"/>
        <w:gridCol w:w="2074"/>
      </w:tblGrid>
      <w:tr>
        <w:trPr>
          <w:tblHeader/>
          <w:cantSplit/>
          <w:cantSplit/>
          <w:tblHeader/>
        </w:trPr>
        <w:tc>
          <w:tcPr>
            <w:tcW w:type="dxa" w:w="2074"/>
          </w:tcPr>
          <w:p>
            <w:pPr>
              <w:spacing w:after="60"/>
            </w:pPr>
            <w:r>
              <w:rPr>
                <w:sz w:val="16"/>
              </w:rPr>
              <w:t>Probe</w:t>
            </w:r>
          </w:p>
        </w:tc>
        <w:tc>
          <w:tcPr>
            <w:tcW w:type="dxa" w:w="2074"/>
          </w:tcPr>
          <w:p>
            <w:pPr>
              <w:spacing w:after="60"/>
            </w:pPr>
            <w:r>
              <w:rPr>
                <w:sz w:val="16"/>
              </w:rPr>
              <w:t>Split</w:t>
            </w:r>
          </w:p>
        </w:tc>
        <w:tc>
          <w:tcPr>
            <w:tcW w:type="dxa" w:w="2074"/>
          </w:tcPr>
          <w:p>
            <w:pPr>
              <w:spacing w:after="60"/>
            </w:pPr>
            <w:r>
              <w:rPr>
                <w:sz w:val="16"/>
              </w:rPr>
              <w:t>Seeds</w:t>
            </w:r>
          </w:p>
        </w:tc>
        <w:tc>
          <w:tcPr>
            <w:tcW w:type="dxa" w:w="2074"/>
          </w:tcPr>
          <w:p>
            <w:pPr>
              <w:spacing w:after="60"/>
            </w:pPr>
            <w:r>
              <w:rPr>
                <w:sz w:val="16"/>
              </w:rPr>
              <w:t>Pearson mean ± SD</w:t>
            </w:r>
          </w:p>
        </w:tc>
        <w:tc>
          <w:tcPr>
            <w:tcW w:type="dxa" w:w="2074"/>
          </w:tcPr>
          <w:p>
            <w:r>
              <w:t>95% split-seed bootstrap interval</w:t>
            </w:r>
          </w:p>
        </w:tc>
      </w:tr>
      <w:tr>
        <w:trPr>
          <w:cantSplit/>
          <w:cantSplit/>
        </w:trPr>
        <w:tc>
          <w:tcPr>
            <w:tcW w:type="dxa" w:w="2074"/>
          </w:tcPr>
          <w:p>
            <w:pPr>
              <w:spacing w:after="60"/>
            </w:pPr>
            <w:r>
              <w:rPr>
                <w:sz w:val="16"/>
              </w:rPr>
              <w:t>Global mean</w:t>
            </w:r>
          </w:p>
        </w:tc>
        <w:tc>
          <w:tcPr>
            <w:tcW w:type="dxa" w:w="2074"/>
          </w:tcPr>
          <w:p>
            <w:pPr>
              <w:spacing w:after="60"/>
            </w:pPr>
            <w:r>
              <w:rPr>
                <w:sz w:val="16"/>
              </w:rPr>
              <w:t>Joint held-out</w:t>
            </w:r>
          </w:p>
        </w:tc>
        <w:tc>
          <w:tcPr>
            <w:tcW w:type="dxa" w:w="2074"/>
          </w:tcPr>
          <w:p>
            <w:pPr>
              <w:spacing w:after="60"/>
            </w:pPr>
            <w:r>
              <w:rPr>
                <w:sz w:val="16"/>
              </w:rPr>
              <w:t>30</w:t>
            </w:r>
          </w:p>
        </w:tc>
        <w:tc>
          <w:tcPr>
            <w:tcW w:type="dxa" w:w="2074"/>
          </w:tcPr>
          <w:p>
            <w:pPr>
              <w:spacing w:after="60"/>
            </w:pPr>
            <w:r>
              <w:rPr>
                <w:sz w:val="16"/>
              </w:rPr>
              <w:t>0.080 ± 0.029</w:t>
            </w:r>
          </w:p>
        </w:tc>
        <w:tc>
          <w:tcPr>
            <w:tcW w:type="dxa" w:w="2074"/>
          </w:tcPr>
          <w:p>
            <w:pPr>
              <w:spacing w:after="60"/>
            </w:pPr>
            <w:r>
              <w:rPr>
                <w:sz w:val="16"/>
              </w:rPr>
              <w:t>0.070 to 0.090</w:t>
            </w:r>
          </w:p>
        </w:tc>
      </w:tr>
      <w:tr>
        <w:trPr>
          <w:cantSplit/>
          <w:cantSplit/>
        </w:trPr>
        <w:tc>
          <w:tcPr>
            <w:tcW w:type="dxa" w:w="2074"/>
          </w:tcPr>
          <w:p>
            <w:pPr>
              <w:spacing w:after="60"/>
            </w:pPr>
            <w:r>
              <w:rPr>
                <w:sz w:val="16"/>
              </w:rPr>
              <w:t>Global mean</w:t>
            </w:r>
          </w:p>
        </w:tc>
        <w:tc>
          <w:tcPr>
            <w:tcW w:type="dxa" w:w="2074"/>
          </w:tcPr>
          <w:p>
            <w:pPr>
              <w:spacing w:after="60"/>
            </w:pPr>
            <w:r>
              <w:rPr>
                <w:sz w:val="16"/>
              </w:rPr>
              <w:t>Random</w:t>
            </w:r>
          </w:p>
        </w:tc>
        <w:tc>
          <w:tcPr>
            <w:tcW w:type="dxa" w:w="2074"/>
          </w:tcPr>
          <w:p>
            <w:pPr>
              <w:spacing w:after="60"/>
            </w:pPr>
            <w:r>
              <w:rPr>
                <w:sz w:val="16"/>
              </w:rPr>
              <w:t>30</w:t>
            </w:r>
          </w:p>
        </w:tc>
        <w:tc>
          <w:tcPr>
            <w:tcW w:type="dxa" w:w="2074"/>
          </w:tcPr>
          <w:p>
            <w:pPr>
              <w:spacing w:after="60"/>
            </w:pPr>
            <w:r>
              <w:rPr>
                <w:sz w:val="16"/>
              </w:rPr>
              <w:t>0.162 ± 0.007</w:t>
            </w:r>
          </w:p>
        </w:tc>
        <w:tc>
          <w:tcPr>
            <w:tcW w:type="dxa" w:w="2074"/>
          </w:tcPr>
          <w:p>
            <w:pPr>
              <w:spacing w:after="60"/>
            </w:pPr>
            <w:r>
              <w:rPr>
                <w:sz w:val="16"/>
              </w:rPr>
              <w:t>0.160 to 0.165</w:t>
            </w:r>
          </w:p>
        </w:tc>
      </w:tr>
      <w:tr>
        <w:trPr>
          <w:cantSplit/>
          <w:cantSplit/>
        </w:trPr>
        <w:tc>
          <w:tcPr>
            <w:tcW w:type="dxa" w:w="2074"/>
          </w:tcPr>
          <w:p>
            <w:pPr>
              <w:spacing w:after="60"/>
            </w:pPr>
            <w:r>
              <w:rPr>
                <w:sz w:val="16"/>
              </w:rPr>
              <w:t>Global mean</w:t>
            </w:r>
          </w:p>
        </w:tc>
        <w:tc>
          <w:tcPr>
            <w:tcW w:type="dxa" w:w="2074"/>
          </w:tcPr>
          <w:p>
            <w:pPr>
              <w:spacing w:after="60"/>
            </w:pPr>
            <w:r>
              <w:rPr>
                <w:sz w:val="16"/>
              </w:rPr>
              <w:t>Scaffold held-out</w:t>
            </w:r>
          </w:p>
        </w:tc>
        <w:tc>
          <w:tcPr>
            <w:tcW w:type="dxa" w:w="2074"/>
          </w:tcPr>
          <w:p>
            <w:pPr>
              <w:spacing w:after="60"/>
            </w:pPr>
            <w:r>
              <w:rPr>
                <w:sz w:val="16"/>
              </w:rPr>
              <w:t>30</w:t>
            </w:r>
          </w:p>
        </w:tc>
        <w:tc>
          <w:tcPr>
            <w:tcW w:type="dxa" w:w="2074"/>
          </w:tcPr>
          <w:p>
            <w:pPr>
              <w:spacing w:after="60"/>
            </w:pPr>
            <w:r>
              <w:rPr>
                <w:sz w:val="16"/>
              </w:rPr>
              <w:t>0.161 ± 0.018</w:t>
            </w:r>
          </w:p>
        </w:tc>
        <w:tc>
          <w:tcPr>
            <w:tcW w:type="dxa" w:w="2074"/>
          </w:tcPr>
          <w:p>
            <w:pPr>
              <w:spacing w:after="60"/>
            </w:pPr>
            <w:r>
              <w:rPr>
                <w:sz w:val="16"/>
              </w:rPr>
              <w:t>0.154 to 0.167</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Joint held-out</w:t>
            </w:r>
          </w:p>
        </w:tc>
        <w:tc>
          <w:tcPr>
            <w:tcW w:type="dxa" w:w="2074"/>
          </w:tcPr>
          <w:p>
            <w:pPr>
              <w:spacing w:after="60"/>
            </w:pPr>
            <w:r>
              <w:rPr>
                <w:sz w:val="16"/>
              </w:rPr>
              <w:t>30</w:t>
            </w:r>
          </w:p>
        </w:tc>
        <w:tc>
          <w:tcPr>
            <w:tcW w:type="dxa" w:w="2074"/>
          </w:tcPr>
          <w:p>
            <w:pPr>
              <w:spacing w:after="60"/>
            </w:pPr>
            <w:r>
              <w:rPr>
                <w:sz w:val="16"/>
              </w:rPr>
              <w:t>0.064 ± 0.028</w:t>
            </w:r>
          </w:p>
        </w:tc>
        <w:tc>
          <w:tcPr>
            <w:tcW w:type="dxa" w:w="2074"/>
          </w:tcPr>
          <w:p>
            <w:pPr>
              <w:spacing w:after="60"/>
            </w:pPr>
            <w:r>
              <w:rPr>
                <w:sz w:val="16"/>
              </w:rPr>
              <w:t>0.055 to 0.074</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Random</w:t>
            </w:r>
          </w:p>
        </w:tc>
        <w:tc>
          <w:tcPr>
            <w:tcW w:type="dxa" w:w="2074"/>
          </w:tcPr>
          <w:p>
            <w:pPr>
              <w:spacing w:after="60"/>
            </w:pPr>
            <w:r>
              <w:rPr>
                <w:sz w:val="16"/>
              </w:rPr>
              <w:t>30</w:t>
            </w:r>
          </w:p>
        </w:tc>
        <w:tc>
          <w:tcPr>
            <w:tcW w:type="dxa" w:w="2074"/>
          </w:tcPr>
          <w:p>
            <w:pPr>
              <w:spacing w:after="60"/>
            </w:pPr>
            <w:r>
              <w:rPr>
                <w:sz w:val="16"/>
              </w:rPr>
              <w:t>0.292 ± 0.008</w:t>
            </w:r>
          </w:p>
        </w:tc>
        <w:tc>
          <w:tcPr>
            <w:tcW w:type="dxa" w:w="2074"/>
          </w:tcPr>
          <w:p>
            <w:pPr>
              <w:spacing w:after="60"/>
            </w:pPr>
            <w:r>
              <w:rPr>
                <w:sz w:val="16"/>
              </w:rPr>
              <w:t>0.289 to 0.294</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Scaffold held-out</w:t>
            </w:r>
          </w:p>
        </w:tc>
        <w:tc>
          <w:tcPr>
            <w:tcW w:type="dxa" w:w="2074"/>
          </w:tcPr>
          <w:p>
            <w:pPr>
              <w:spacing w:after="60"/>
            </w:pPr>
            <w:r>
              <w:rPr>
                <w:sz w:val="16"/>
              </w:rPr>
              <w:t>30</w:t>
            </w:r>
          </w:p>
        </w:tc>
        <w:tc>
          <w:tcPr>
            <w:tcW w:type="dxa" w:w="2074"/>
          </w:tcPr>
          <w:p>
            <w:pPr>
              <w:spacing w:after="60"/>
            </w:pPr>
            <w:r>
              <w:rPr>
                <w:sz w:val="16"/>
              </w:rPr>
              <w:t>0.189 ± 0.019</w:t>
            </w:r>
          </w:p>
        </w:tc>
        <w:tc>
          <w:tcPr>
            <w:tcW w:type="dxa" w:w="2074"/>
          </w:tcPr>
          <w:p>
            <w:pPr>
              <w:spacing w:after="60"/>
            </w:pPr>
            <w:r>
              <w:rPr>
                <w:sz w:val="16"/>
              </w:rPr>
              <w:t>0.182 to 0.195</w:t>
            </w:r>
          </w:p>
        </w:tc>
      </w:tr>
    </w:tbl>
    <w:p>
      <w:r>
        <w:t>Intervals summarize sensitivity to split construction on the fixed observed cohorts; repeated seeds are not independent biological samples.</w:t>
      </w:r>
    </w:p>
    <w:p>
      <w:r>
        <w:t>The train-selected-panel ridge random-minus-joint difference was 0.227 (95% split-seed bootstrap interval 0.216 to 0.238). Its joint gain over the global mean was -0.016 (-0.020 to -0.011). These paired comparisons use all 30 fixed seeds.</w:t>
      </w:r>
    </w:p>
    <w:p>
      <w:r>
        <w:t>Different training-selected panels evaluate different target coordinates. These scores are sensitivity endpoints, not replacements for fixed-panel scores.</w:t>
      </w:r>
    </w:p>
    <w:p>
      <w:pPr>
        <w:keepNext/>
        <w:keepLines/>
        <w:pageBreakBefore/>
      </w:pPr>
      <w:r>
        <w:t>Figure S1. Training and validation loss traces</w:t>
      </w:r>
    </w:p>
    <w:p>
      <w:pPr>
        <w:keepNext/>
      </w:pPr>
      <w:r>
        <w:drawing>
          <wp:inline xmlns:a="http://schemas.openxmlformats.org/drawingml/2006/main" xmlns:pic="http://schemas.openxmlformats.org/drawingml/2006/picture">
            <wp:extent cx="6446520" cy="30164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46520" cy="3016447"/>
                    </a:xfrm>
                    <a:prstGeom prst="rect"/>
                  </pic:spPr>
                </pic:pic>
              </a:graphicData>
            </a:graphic>
          </wp:inline>
        </w:drawing>
      </w:r>
    </w:p>
    <w:p>
      <w:pPr>
        <w:keepLines/>
      </w:pPr>
      <w:r>
        <w:t>Figure S1. Training and validation loss traces for the control-conditioned nonlinear benchmark under Sci-Plex 3 matched-random controls. Lines show the mean across completed fixed seeds and shaded regions show one standard deviation.</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