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creating prediction tasks that are not available in dissociated profiling alone [1]. These tasks include imputation of unmeasured genes, mapping between molecular and spatial modalities, graph-based learning from tissue neighborhoods and representation learning over spatial context [2,3,4]. Spatial graph and domain-learning methods further show how location, morphology and neighborhood structure can carry biologically meaningful information [5,6,7,8]. As these methods scale across tissues and cohorts, distinguishing these levels of generalization becomes increasingly important for interpreting model comparisons.</w:t>
      </w:r>
    </w:p>
    <w:p>
      <w:r>
        <w:t>The evaluation problem is that spatial observations are not independent in the ordinary IID sense. A random spot-level split can place neighboring tissue locations, similar local cell compositions, the same section background or the same patient-associated structure on both sides of the train-test boundary. In machine-learning settings, such non-independent sampling and leakage between model development and evaluation can inflate apparent performance and reduce reproducibility [9,10,11,12]. Gene-expression analyses have long shown the related risk that feature selection and model evaluation must be separated to avoid biased estimates [13].</w:t>
      </w:r>
    </w:p>
    <w:p>
      <w:r>
        <w:t>Spatial dependence is not inherently invalid. Spatial autocorrelation is a defining property of many tissue measurements and has a formal statistical history [14]. A spatially aware model may use tissue architecture as a legitimate biological signal if that signal is retained under the separation required by the scientific claim. The central question is what claim the evaluation design can support: local interpolation, spatial transfer, section transfer, patient transfer, dataset transfer or cross-platform transfer.</w:t>
      </w:r>
    </w:p>
    <w:p>
      <w:r>
        <w:t>Current spatial omics benchmarks do not consistently separate these levels. Existing spatial prediction and enhancement studies illustrate how benchmark tasks are often framed around held-out measurements within related spatial or molecular contexts [2,15,4]. Random spot-level evaluation in particular can conflate local spatial-neighborhood dependence, patient-associated structure and transportable biological signal. This makes it difficult to interpret whether an apparent model advantage reflects a robust predictive principle or the evaluation tier used to measure it.</w:t>
      </w:r>
    </w:p>
    <w:p>
      <w:r>
        <w:t>Here we introduce SpatialLeak, a multi-tier evaluation framework for spatial omics prediction. SpatialLeak compares random spot splits with buffered spatial, section-held-out, patient-held-out and dataset-held-out regimes across public spatial transcriptomics datasets and diagnostic model classes. The framework shows that apparent generalization can arise through distinct spatial-neighborhood and patient-associated channels, and it organizes these findings into a generalization evidence hierarchy.</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622954"/>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622954"/>
                    </a:xfrm>
                    <a:prstGeom prst="rect"/>
                  </pic:spPr>
                </pic:pic>
              </a:graphicData>
            </a:graphic>
          </wp:inline>
        </w:drawing>
      </w:r>
    </w:p>
    <w:p>
      <w:pPr>
        <w:spacing w:after="160"/>
      </w:pPr>
      <w:r>
        <w:rPr>
          <w:i/>
        </w:rPr>
        <w:t>Figure 2. Cross-dataset random versus strict evaluation by evidence tier. Bars show mean Pearson correlation for random splits and the relevant strict tier. Background shading separates patient-associated evaluation from spatial-buffer evaluation. Error bars indicate ±1 s.d.; s.d. is computed across 10 frozen seeds for random and spatial-buffer estimates and across held-out patient/donor groups for patient-held-out strict estimates, as specified in Source Data.</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20147"/>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20147"/>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can be inflated through separable spatial-neighborhood and patient-associated channels. Random spot-level evaluation overstated apparent predictive generalization in multiple settings, non-zero spatial buffers exposed local neighborhood dependence, patient-held-out tests revealed a distinct patient-associated channel, and the resulting evidence hierarchy clarified what each evaluation tier can claim.</w:t>
      </w:r>
    </w:p>
    <w:p>
      <w:r>
        <w:t>The non-zero buffer result is important because non-overlapping spatial blocks do not necessarily create local independence. A test spot can remain close to a training neighborhood even when it is assigned to a different block. GSE278936 illustrates this point: hop0 was essentially unchanged, whereas hop2 and hop5 exposed a stable PCA+Ridge loss. This does not mean that every study requires hop5, but it does mean that spatial split definitions should report the exclusion distance they actually impose.</w:t>
      </w:r>
    </w:p>
    <w:p>
      <w:r>
        <w:t>Spatial information itself is not leakage. Tissue architecture is often the object of spatial omics analysis, and a model should be allowed to use it when the intended claim is local interpolation or when the signal survives stricter separation. SpatialLeak is designed to determine whether spatial signal survives the evaluation tier implied by the biological claim, not to remove spatial context from spatial models.</w:t>
      </w:r>
    </w:p>
    <w:p>
      <w:r>
        <w:t>Patient-associated performance loss is also not a single causal mechanism. A patient-held-out drop can reflect patient identity, section context, processing batch, sample handling, cohort structure, tissue biology or their combination. Public datasets do not always allow these components to be separated. The appropriate claim is therefore patient-associated performance inflation, not proof of a specific batch shortcut.</w:t>
      </w:r>
    </w:p>
    <w:p>
      <w:r>
        <w:t>These findings suggest practical minimum expectations for future spatial omics benchmarks. Studies should report grouped splits, explicit spatial buffers, patient separation where the claim requires it, strong non-spatial baselines, spatial diagnostic baselines, uncertainty at the biological unit, transparent split metadata and code that reproduces the evaluation tier. Model rankings should be tied to the claim being tested rather than presented as universal.</w:t>
      </w:r>
    </w:p>
    <w:p>
      <w:r>
        <w:t>The study has clear boundaries. The model set is diagnostic rather than exhaustive. Public datasets are heterogeneous in platform, tissue, density and sample structure. Visium breast is single-patient, GSE278936 public data contain one section per patient, DLPFC GraphSAGE was not used as main evidence, and cross-platform transfer remains supplementary. Strict-split loss can include legitimate distribution shift as well as leakage-sensitive dependence. These limitations define the scope of inference but do not alter the central need to align evaluation design with the generalization claim.</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