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These tasks include imputation of unmeasured genes and mapping between molecular and spatial modalities [2,3]. They also include graph-based learning from tissue neighborhoods and representation learning over spatial context [4]. Spatial graph and domain-learning methods further show how location, morphology and neighborhood structure can carry biologically meaningful information [5,6]. Histology-aware graph models and deep spatial representations extend this trend by combining molecular profiles with tissue context at increasing scale [7,8]. As spatial models are increasingly compared across tissues and cohorts, the validity of these comparisons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Related forms of non-independent sampling and information leakage are known to inflate machine-learning performance estimates [9,10]. Leakage between model development and evaluation can also reduce reproducibility in biomedical prediction studies [11,12]. Gene-expression analyses have long shown the related risk that feature selection and model evaluation must be separated to avoid biased estimates [13].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[14]. A spatially aware model may legitimately exploit tissue architecture when the intended task is local interpolation or when the learned signal remains predictive across the separation required by the scientific claim.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spatial omics benchmarks do not consistently distinguish these levels of evidence. Spatial prediction and enhancement studies illustrate how benchmark tasks are often framed around held-out measurements within related spatial or molecular contexts [2,15]. Graph-based spatial prediction further highlights the need to distinguish useful neighborhood signal from evaluation settings that permit local interpolation [4].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781334"/>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781334"/>
                    </a:xfrm>
                    <a:prstGeom prst="rect"/>
                  </pic:spPr>
                </pic:pic>
              </a:graphicData>
            </a:graphic>
          </wp:inline>
        </w:drawing>
      </w:r>
    </w:p>
    <w:p>
      <w:pPr>
        <w:spacing w:after="160"/>
      </w:pPr>
      <w:r>
        <w:rPr>
          <w:i/>
        </w:rPr>
        <w:t>Figure 1. Evaluation design determines the generalization claim. (a) Random spot splitting intermingles training and test observations within the same section and patient context. (b) Apparent performance can reflect local spatial dependence, patient-associated structure and transportable biological signal. (c) Different isolation strategies target different dependence sources. (d) The resulting hierarchy links each evaluation tier to the level of generalization it can support.</w:t>
      </w:r>
    </w:p>
    <w:p>
      <w:pPr>
        <w:jc w:val="center"/>
      </w:pPr>
      <w:r>
        <w:drawing>
          <wp:inline xmlns:a="http://schemas.openxmlformats.org/drawingml/2006/main" xmlns:pic="http://schemas.openxmlformats.org/drawingml/2006/picture">
            <wp:extent cx="5577840" cy="3622954"/>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622954"/>
                    </a:xfrm>
                    <a:prstGeom prst="rect"/>
                  </pic:spPr>
                </pic:pic>
              </a:graphicData>
            </a:graphic>
          </wp:inline>
        </w:drawing>
      </w:r>
    </w:p>
    <w:p>
      <w:pPr>
        <w:spacing w:after="160"/>
      </w:pPr>
      <w:r>
        <w:rPr>
          <w:i/>
        </w:rPr>
        <w:t>Figure 2. Cross-dataset random versus strict evaluation by evidence tier. Bars show mean Pearson correlation for random splits and the relevant strict tier. Background shading separates patient-associated evaluation from spatial-buffer evaluation. Error bars indicate ±1 s.d.; s.d. is computed across 10 frozen seeds for random and spatial-buffer estimates and across held-out patient/donor groups for patient-held-out strict estimates, as specified in Source Data.</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20147"/>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20147"/>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21381"/>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21381"/>
                    </a:xfrm>
                    <a:prstGeom prst="rect"/>
                  </pic:spPr>
                </pic:pic>
              </a:graphicData>
            </a:graphic>
          </wp:inline>
        </w:drawing>
      </w:r>
    </w:p>
    <w:p>
      <w:pPr>
        <w:spacing w:after="160"/>
      </w:pPr>
      <w:r>
        <w:rPr>
          <w:i/>
        </w:rPr>
        <w:t>Figure 4. Non-zero spatial buffer response. Curves show mean Pearson correlation under random, hop0, hop2 and hop5 splits. Error bars indicate ±1 s.d. across frozen seeds: 10 seeds for DLPFC and Visium breast, and 5 seeds for the GSE278936 spatial-channel pilot.</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can be inflated through separable spatial-neighborhood and patient-associated channels. Random spot-level evaluation overstated apparent predictive generalization in multiple settings, non-zero spatial buffers exposed local neighborhood dependence, patient-held-out tests revealed a distinct patient-associated channel, and the resulting evidence hierarchy clarified what each evaluation tier can claim.</w:t>
      </w:r>
    </w:p>
    <w:p>
      <w:r>
        <w:t>The non-zero buffer result is important because non-overlapping spatial blocks do not necessarily create local independence. A test spot can remain close to a training neighborhood even when it is assigned to a different block. GSE278936 illustrates this point: hop0 was essentially unchanged, whereas hop2 and hop5 exposed a stable PCA+Ridge loss. This does not mean that every study requires hop5, but it does mean that spatial split definitions should report the exclusion distance they actually impose.</w:t>
      </w:r>
    </w:p>
    <w:p>
      <w:r>
        <w:t>Spatial information itself is not leakage. Tissue architecture is often the object of spatial omics analysis, and a model should be allowed to use it when the intended claim is local interpolation or when the signal survives stricter separation. SpatialLeak is designed to determine whether spatial signal survives the evaluation tier implied by the biological claim, not to remove spatial context from spatial models.</w:t>
      </w:r>
    </w:p>
    <w:p>
      <w:r>
        <w:t>Patient-associated performance loss is also not a single causal mechanism. A patient-held-out drop can reflect patient identity, section context, processing batch, sample handling, cohort structure, tissue biology or their combination. Public datasets do not always allow these components to be separated. The appropriate claim is therefore patient-associated performance inflation, not proof of a specific batch shortcut.</w:t>
      </w:r>
    </w:p>
    <w:p>
      <w:r>
        <w:t>These findings suggest practical minimum expectations for future spatial omics benchmarks. Studies should report grouped splits, explicit spatial buffers, patient separation where the claim requires it, strong non-spatial baselines, spatial diagnostic baselines, uncertainty at the biological unit, transparent split metadata and code that reproduces the evaluation tier. Model rankings should be tied to the claim being tested rather than presented as universal.</w:t>
      </w:r>
    </w:p>
    <w:p>
      <w:r>
        <w:t>The study has clear boundaries. The model set is diagnostic rather than exhaustive. Public datasets are heterogeneous in platform, tissue, density and sample structure. Visium breast is single-patient, GSE278936 public data contain one section per patient, DLPFC GraphSAGE was not used as main evidence, and cross-platform transfer remains supplementary. Strict-split loss can include legitimate distribution shift as well as leakage-sensitive dependence. These limitations define the scope of inference but do not alter the central need to align evaluation design with the generalization claim.</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