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subject-associated structure can make such performance difficult to interpret. We developed SpatialLeak, a leakage-resistant evaluation framework that compares random spot splits with buffered spatial, section-held-out, subject-held-out and dataset-held-out regimes. In dense Visium breast data, Spatial kNN showed strong spatial-neighborhood inflation, with hop5 relative leakage inflation (RLI) of 0.796. GraphSAGE showed large subject-associated losses in Andersson and Thrane, with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Early spatial prediction and enhancement methods addressed unmeasured genes and registration between molecular and spatial modalities [2,3,4]. Graph-based and spatial-domain methods then made tissue neighborhoods an explicit part of the model, using location, morphology and local context to recover biologically meaningful spatial structure [5,6,7]. Subsequent visual-omics and deep representation models extended this trajectory toward large-scale multimodal learning between histology and spatial transcriptomics [8,9,10]. As these models are increasingly compared across tissues and cohorts, the validity of the comparison depends not only on model architecture but also on whether the evaluation design matches the level of generalization being claimed.</w:t>
      </w:r>
    </w:p>
    <w:p>
      <w:r>
        <w:t>Spatial observations are not independent in the conventional independent and identically distributed (IID) setting. Random spot-level splits can place neighboring tissue locations, similar local cell compositions, the same section background or the same subject-associated structure on both sides of the train-test boundary. Under such settings, apparent test performance can combine local interpolation with broader transfer. Leakage has long been recognized as a source of optimistic machine-learning estimates when information crosses the boundary between model development and evaluation [11,12]. Recent work has moved this concern from general warnings toward leakage-reduced biological data splitting and empirical demonstrations that subject reuse or pipeline leakage can inflate biomedical prediction performance [13,14].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[15]. A spatially aware model may legitimately exploit tissue architecture when the intended task is local interpolation or when the learned signal remains predictive across the separation required by the scientific claim. Modern spatial omics method benchmarks increasingly evaluate robustness, generalizability and scenario-specific performance [16,17,18], while systematic technology comparisons demonstrate substantial platform-dependent variation [19]. The relevant question is not whether a model uses spatial information, but whether the information it exploits remains predictive under the level of separation implied by that claim. Local interpolation, spatial transfer, section transfer, patient or donor transfer, dataset transfer and cross-platform transfer are distinct evaluation targets and should not be treated as interchangeable.</w:t>
      </w:r>
    </w:p>
    <w:p>
      <w:r>
        <w:t>Existing benchmarks have broadened spatial omics evaluation but do not yet provide a unified hierarchy linking the train-test boundary to the generalization claim. Spatial prediction studies show that within-study accuracy, cross-study generalizability and translational utility can rank methods differently [17]. Benchmarks of alignment and related spatial tasks likewise show that challenging cross-platform and multi-slice scenarios expose limitations that conventional evaluations can miss [18]. It remains unclear whether apparent performance inflation is driven primarily by local spatial-neighborhood dependence, subject-associated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subject-held-out and dataset-held-out regimes across public spatial transcriptomics datasets and diagnostic model classes. We show that apparent generalization can be attenuated through distinct spatial-neighborhood and subject-associated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(Figs. 1 and 2). Across dorsolateral prefrontal cortex (DLPFC), Andersson, Thrane and Visium breast, random splits produced higher apparent performance than the relevant stricter split for the main interpretable dataset-model combinations. This established random spot evaluation as a permissive interpolation setting rather than evidence, by itself, for section-, subject-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subject-associated structure and transportable signal. (c) Increasing separation adds spatial buffers, section separation, subject separation (patient or donor), dataset separation and platform separation. (d) The evidence hierarchy links each evaluation tier to the level of generalization it can support; signal retained under stricter tiers provides stronger evidence for transportable signal.</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Subject-associated evaluation compares random spot-level performance with patient- or donor-held-out performance in datasets supporting subject-level separation. (b) Spatial evaluation compares random performance with minimum graph distance ≥5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standard deviation (s.d.); random and spatial-buffer estimates summarize predefined seeds, whereas subject-held-out estimates summarize held-out subject groups as detailed in Source Data. Because dispersion units differ between random seed summaries and subject-held-out group summaries, error-bar widths should not be interpreted as directly comparable measures of sampling uncertainty. Dataset-model combinations with near-zero random performance, for which relative inflation is not interpretable, are excluded from the main display and reported in the Supplementary Information.</w:t>
      </w:r>
    </w:p>
    <w:p>
      <w:r>
        <w:t>The subject-associated datasets showed the clearest random-to-subject losses (Fig. 3). We use subject-associated as the framework-level term for patient- or donor-level grouping, including donor-held-out evaluation in DLPFC and patient-held-out evaluation in tumor datasets.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the prespecified hop-buffered spatial evaluation, prioritizing +5-hop where resolvable; exact strict splits are listed in Source Data. The subject-associated channel reports RLI between random and patient- or donor-held-out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graph-distance buffers reduced performance. Points show mean Pearson correlation across target genes; error bars indicate ±1 s.d. across frozen seeds (n = 10 for DLPFC and Visium breast; n = 5 for GSE278936). Random evaluation is shown as a permissive reference. Minimum graph distance ≥2 and ≥5 denote retained test spots whose nearest training spot is at least two or five graph edges away, respectively. Random-size-matched controls are reported in the Supplementary Information.</w:t>
      </w:r>
    </w:p>
    <w:p>
      <w:r>
        <w:t>GSE278936 provided an independent high-density Visium spatial-channel replication. PCA+Ridge was essentially unchanged under block-only separation (hop0; RLI ≈ 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Subject-held-out evaluation identifies a distinct subject-associated channel</w:t>
      </w:r>
    </w:p>
    <w:p>
      <w:r>
        <w:t>Subject-held-out evaluation measured a different axis of dependence from within-section spatial buffering (Fig. 3). Andersson and Thrane had large patient-held-out losses even when spatial kNN was near zero or when high-hop spatial curves were not resolvable in lower-density spatial transcriptomics geometry. DLPFC showed a mixed pattern, with both spatial and donor-associated effects.</w:t>
      </w:r>
    </w:p>
    <w:p>
      <w:r>
        <w:t>The subject-associated channel should not be interpreted as a causal batch-effect estimate. It can include subject identity (patient or donor), section background, tissue processing, sample handling, cohort structure and biological heterogeneity. The result is that random spot splits can use structure that is not retained when subject-associated groups are separated.</w:t>
      </w:r>
    </w:p>
    <w:p>
      <w:pPr>
        <w:pStyle w:val="Heading2"/>
      </w:pPr>
      <w:r>
        <w:t>Dominant generalization-inflation channels vary across datasets and model classes</w:t>
      </w:r>
    </w:p>
    <w:p>
      <w:r>
        <w:t>The two-channel phenotype map shows that evaluation sensitivity was structured rather than uniform (Fig. 3). DLPFC exhibited mixed spatial and donor-associated attenuation, Andersson and Thrane were subject-associated dominant, dense Visium breast exposed a strong local spatial channel in a single-patient setting, and GSE278936 provided an external spatial-channel replication plus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subject-held-out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subject transfer, and a model that appears robust under a spatial split may still lose performance under subject-held-out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subject transfer. Level 1, buffered spatial transfer, tests local neighborhood separation but does not establish subject transfer. Level 2, section-held-out transfer, tests transfer across sections but not necessarily across subjects. Level 3, subject-held-out transfer, including patient- or donor-held-out evaluation, tests retention across subject-associated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datasets, replacing random spot-level evaluation with stricter designs attenuated performance through two distinct channels: local spatial-neighborhood dependence and subject-associated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[16,17]. Benchmarks of spatial alignment further show that challenging cross-platform and multi-slice scenarios can change apparent method behavior [18].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[15]. Contemporary benchmarks increasingly recognize spatial continuity and technology-dependent variation as distinct dimensions of performance rather than treating observations as exchangeable [16,19]. This agrees with broader data-splitting work in biology, where similarity-aware partitions are used to reduce leakage that would remain under naive random splitting [13].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Subject-held-out evaluation exposed a second dependence structure that was not explained by local spatial-neighborhood dependence alone. In Andersson and Thrane, substantial subject-associated losses persisted for both PCA+Ridge and GraphSAGE even when local spatial-neighbor baselines were weak, indicating that within-section proximity was insufficient to explain the observed attenuation. This channel should not be interpreted as a single batch effect. Patient or donor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[20]. This interpretation is consistent with the broader machine-learning literature showing that non-independent grouping between development and evaluation data can produce optimistic estimates when the intended deployment unit is a new biological subject [11,13,14]. Subject-held-out evaluation therefore measures the portability of a predictive relationship across subject-associated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[17]. Robust and uncertainty-aware spatial prediction frameworks further show that nominally accurate predictions can differ in reliability for downstream inference [21,22]. We therefore view the SpatialLeak hierarchy as an extrapolation ladder: retention under progressively broader separation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[13,17].</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subject- or spatially isolated testing. This is consistent with independent spatial omics benchmarks in which no method dominates all evaluation criteria: spatial clustering algorithms show complementary performance across accuracy, continuity and robustness [16], and histology-to-expression prediction methods can rank differently for within-study accuracy, cross-study generalizability and translational utility [17]. A recent benchmark of spatial alignment methods likewise found that performance is scenario-dependent and that challenging cross-platform or multi-slice settings expose limitations that are not apparent under conventional evaluations [18]. A leaderboard without an explicit generalization regime is therefore underspecified. Spatial omics studies should specify whether model superiority refers to local interpolation, subject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[19]. Multi-site imaging-based spatial studies further demonstrate the importance of harmonized procedures and standardized reproducibility metrics when results are compared across laboratories or platforms [20]. Contemporary method benchmarks increasingly include robustness, usability and challenging cross-platform scenarios rather than relying on a single internal accuracy measure [18].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Similarity-aware split descriptions are especially important when nominally separate observations remain biologically or technically related [13].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[20]. Third, our main task focused on gene-expression prediction; evaluation dependence should also be tested in multimodal translation, spatial domain inference, alignment and representation learning, where recent methods and benchmarks already show strong scenario-specific behavior [10,18,22]. Finally, point performance alone does not capture the reliability of predicted spatial quantities, suggesting that future leakage-resistant benchmarks should integrate uncertainty calibration and downstream inference alongside predictive accuracy metrics [21].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two public 10x Visium breast cancer sections and GSE278936 prostate Visium data [23,24,25,26,27,28,29]. Restricted EGA validation data from the prostate study were not used. Dataset roles were defined by public sample structure: Visium breast contained one patient and two sections, and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 = 10,000) and transformed with log1p using Scanpy [30]. After library-size normalization and log transformation, the target panel was defined as described below. Up to 2,000 highly variable genes (HVGs) were then selected once during dataset preprocessing with the Scanpy Seurat-flavor HVG procedure after excluding target genes; 2,000 predictors were used whenever available. This predictor set was frozen before split-specific model fitting rather than reselected within each split. HVG selection was treated as a fixed, unsupervised dataset-level feature-definition step and did not use downstream model performance, labels or evaluation-tier outcomes.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normalization and log transformation. Moran ranking was computed on the normalized and log-transformed expression matrix before predictor-gene selection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 3 grid blocks within each section to train, validation or test folds and selected balanced assignments from 300 random candidates per seed using spot count, library size, Moran signal and layer composition where available. matched_hop0 denotes block-only separation: non-overlapping block assignment without a positive exclusion buffer. Hop2 and hop5 splits required each retained test spot to have a nearest-training shortest-path distance of at least two or five edges, respectively, on a within-slide spatial kNN graph with k = 15. Equivalently, test spots with nearest-training graph distance below two or five edges were removed. These splits are denoted matched_hop2 and matched_hop5, or +2-hop and +5-hop buffers. Subject-held-out splits held out all sections from a patient or donor where available. Validation sections were selected from the remaining training patients or donors, rather than from the held-out test subject. Section-held-out (slide-held-out) splits held out sections but were not treated as subject-held-out unless patient or donor identity was also separated.</w:t>
      </w:r>
    </w:p>
    <w:p>
      <w:r>
        <w:t>Dataset- and platform-level evaluation was used only as a supplementary stress test. In the Andersson-to-Visium comparison, PCA+Ridge was trained on Andersson HER2-positive breast cancer spatial transcriptomics data and evaluated on 10x Visium breast data using the shared target-gene intersection. The model used 49 of the 50 shared-panel targets because SEPT4 was absent from the cross-dataset target-gene intersection, together with 2,000 common predictor features. Preprocessing and target-panel definitions were frozen before model fitting; PCA and Ridge parameters were fitted on the training dataset only and then applied to the held-out Visium dataset without refitting on test observations. Spatial kNN was excluded because spatial coordinates are not comparable across platforms. This analysis was reported as a dataset-held-out/cross-platform stress test rather than as central validation.</w:t>
      </w:r>
    </w:p>
    <w:p>
      <w:pPr>
        <w:pStyle w:val="Heading2"/>
      </w:pPr>
      <w:r>
        <w:t>Spatial graph construction</w:t>
      </w:r>
    </w:p>
    <w:p>
      <w:r>
        <w:t>Spatial graphs were built within slides only. kNN edges were calculated from spatial coordinates, preventing cross-slide graph connections. GraphSAGE performed message passing over within-slide graph neighborhoods but never aggregated test labels [31].</w:t>
      </w:r>
    </w:p>
    <w:p>
      <w:pPr>
        <w:pStyle w:val="Heading2"/>
      </w:pPr>
      <w:r>
        <w:t>Models</w:t>
      </w:r>
    </w:p>
    <w:p>
      <w:r>
        <w:t>Principal component analysis plus Ridge regression (PCA+Ridge) used up to 2,000 predictor genes, with 2,000 used whenever available, excluding the 50 target genes. Principal component analysis (PCA) used 64 components and was fit only on training observations. Ridge regression used alpha = 1.0 and was fit separately for each target gene. Spatial k-nearest-neighbour (Spatial kNN) used k = 15 nearest training spots in normalized per-slide coordinates and inverse-distance weights 1/(d + 10⁻⁶) normalized to sum to one for each test spot. Neighbors were drawn only from the training split; when fewer than 15 training spots were available, all available training spots were used. GraphSAGE used train-only PCA and train-only feature scaling, two GraphSAGE layers with a hidden dimension of 128 in all reported analyses, within-slide graph k = 10 with self-loops, ReLU activation, no dropout, mean-squared-error loss on training nodes, Adam optimization with learning rate 10⁻³, weight decay 10⁻⁴, up to 500 epochs, validation-loss early stopping with patience 60, and validation-loss checkpoint selection. The kNN graph used for split construction (k = 15) was distinct from the GraphSAGE message-passing graph (k = 10). Test performance was not used for checkpoint selection.</w:t>
      </w:r>
    </w:p>
    <w:p>
      <w:pPr>
        <w:pStyle w:val="Heading2"/>
      </w:pPr>
      <w:r>
        <w:t>Metrics and inference</w:t>
      </w:r>
    </w:p>
    <w:p>
      <w:r>
        <w:t>The primary metric was mean Pearson correlation across target genes. Leakage inflation was defined as random performance minus strict-tier performance. Relative leakage inflation (RLI) was defined as the random-minus-strict performance difference divided by random performance, and retention was defined as strict-tier performance divided by random performance.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models included Moran's I and model class as fixed effects and dataset as a random intercept.</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the two public 10x Visium breast sections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He, B. et al. Integrating spatial gene expression and breast tumour morphology via deep learning. Nat. Biomed. Eng. 4, 827-834 (2020). https://doi.org/10.1038/s41551-020-0578-x</w:t>
      </w:r>
    </w:p>
    <w:p>
      <w:r>
        <w:t>9. Xu, H. et al. Unsupervised spatially embedded deep representation of spatial transcriptomics. Genome Med. 16, 12 (2024). https://doi.org/10.1186/s13073-024-01283-x</w:t>
      </w:r>
    </w:p>
    <w:p>
      <w:r>
        <w:t>10. Chen, W. et al. A visual–omics foundation model to bridge histopathology with spatial transcriptomics. Nat. Methods 22, 1568-1582 (2025). https://doi.org/10.1038/s41592-025-02707-1</w:t>
      </w:r>
    </w:p>
    <w:p>
      <w:r>
        <w:t>11. Kapoor, S. &amp; Narayanan, A. Leakage and the reproducibility crisis in machine-learning-based science. Patterns 4, 100804 (2023). https://doi.org/10.1016/j.patter.2023.100804</w:t>
      </w:r>
    </w:p>
    <w:p>
      <w:r>
        <w:t>12. Kaufman, S., Rosset, S., Perlich, C. &amp; Stitelman, O. Leakage in data mining. ACM Trans. Knowl. Discov. Data 6, 1-21 (2012). https://doi.org/10.1145/2382577.2382579</w:t>
      </w:r>
    </w:p>
    <w:p>
      <w:r>
        <w:t>13. Joeres, R., Blumenthal, D.B. &amp; Kalinina, O.V. Data splitting to avoid information leakage with DataSAIL. Nat. Commun. 16, 3337 (2025). https://doi.org/10.1038/s41467-025-58606-8</w:t>
      </w:r>
    </w:p>
    <w:p>
      <w:r>
        <w:t>14. Rosenblatt, M., Tejavibulya, L., Jiang, R., Noble, S. &amp; Scheinost, D. Data leakage inflates prediction performance in connectome-based machine learning models. Nat. Commun. 15, 1829 (2024). https://doi.org/10.1038/s41467-024-46150-w</w:t>
      </w:r>
    </w:p>
    <w:p>
      <w:r>
        <w:t>15. Moran, P.A.P. Notes on continuous stochastic phenomena. Biometrika 37, 17–23 (1950). https://doi.org/10.1093/biomet/37.1-2.17</w:t>
      </w:r>
    </w:p>
    <w:p>
      <w:r>
        <w:t>16. Yuan, Z. et al. Benchmarking spatial clustering methods with spatially resolved transcriptomics data. Nat. Methods 21, 712-722 (2024). https://doi.org/10.1038/s41592-024-02215-8</w:t>
      </w:r>
    </w:p>
    <w:p>
      <w:r>
        <w:t>17. Wang, C. et al. Benchmarking the translational potential of spatial gene expression prediction from histology. Nat. Commun. 16, 1544 (2025). https://doi.org/10.1038/s41467-025-56618-y</w:t>
      </w:r>
    </w:p>
    <w:p>
      <w:r>
        <w:t>18. Yan, Y. et al. Benchmarking alignment methods for spatial transcriptomics data. Nat. Comput. Sci. 6, 524-541 (2026). https://doi.org/10.1038/s43588-026-00977-z</w:t>
      </w:r>
    </w:p>
    <w:p>
      <w:r>
        <w:t>19. You, Y. et al. Systematic comparison of sequencing-based spatial transcriptomic methods. Nat. Methods 21, 1743-1754 (2024). https://doi.org/10.1038/s41592-024-02325-3</w:t>
      </w:r>
    </w:p>
    <w:p>
      <w:r>
        <w:t>20. Plummer, J.T. et al. Standardized metrics for assessment and reproducibility of imaging-based spatial transcriptomics datasets. Nat. Biotechnol. 44, 1213-1225 (2026). https://doi.org/10.1038/s41587-025-02811-9</w:t>
      </w:r>
    </w:p>
    <w:p>
      <w:r>
        <w:t>21. Sun, E.D., Ma, R., Navarro Negredo, P., Brunet, A. &amp; Zou, J. TISSUE: uncertainty-calibrated prediction of single-cell spatial transcriptomics improves downstream analyses. Nat. Methods 21, 444-454 (2024). https://doi.org/10.1038/s41592-024-02184-y</w:t>
      </w:r>
    </w:p>
    <w:p>
      <w:r>
        <w:t>22. Tan, X. et al. Robust and interpretable prediction of gene markers and cell types from spatial transcriptomics data. Nat. Commun. 17, 1781 (2026). https://doi.org/10.1038/s41467-026-68487-0</w:t>
      </w:r>
    </w:p>
    <w:p>
      <w:r>
        <w:t>23. Maynard, K.R. et al. Transcriptome-scale spatial gene expression in the human dorsolateral prefrontal cortex. Nat. Neurosci. 24, 425-436 (2021). https://doi.org/10.1038/s41593-020-00787-0</w:t>
      </w:r>
    </w:p>
    <w:p>
      <w:r>
        <w:t>24. Andersson, A. et al. Spatial deconvolution of HER2-positive breast cancer delineates tumor-associated cell type interactions. Nat. Commun. 12, 6012 (2021). https://doi.org/10.1038/s41467-021-26271-2</w:t>
      </w:r>
    </w:p>
    <w:p>
      <w:r>
        <w:t>25. Andersson, A. et al. Spatial deconvolution of HER2-positive breast cancer delineates tumor-associated cell type interactions: dataset record. Zenodo (2021). https://doi.org/10.5281/zenodo.4751624</w:t>
      </w:r>
    </w:p>
    <w:p>
      <w:r>
        <w:t>26. Thrane, K., Eriksson, H., Maaskola, J., Hansson, J. &amp; Lundeberg, J. Spatially Resolved Transcriptomics Enables Dissection of Genetic Heterogeneity in Stage III Cutaneous Malignant Melanoma. Cancer Res. 78, 5970-5979 (2018). https://doi.org/10.1158/0008-5472.CAN-18-0747</w:t>
      </w:r>
    </w:p>
    <w:p>
      <w:r>
        <w:t>27. 10x Genomics. Human Breast Cancer (Block A Section 1): Spatial Gene Expression dataset. 10x Genomics dataset, version 1.0.0, Block A Section 1; Accessed 2026-08-10. https://www.10xgenomics.com/datasets/human-breast-cancer-block-a-section-1-1-standard-1-0-0 (2020).</w:t>
      </w:r>
    </w:p>
    <w:p>
      <w:r>
        <w:t>28. 10x Genomics. Human Breast Cancer (Block A Section 2): Spatial Gene Expression dataset. 10x Genomics dataset, version 1.1.0, Block A Section 2; Accessed 2026-08-11. https://www.10xgenomics.com/datasets/human-breast-cancer-block-a-section-2-1-standard-1-1-0 (2020).</w:t>
      </w:r>
    </w:p>
    <w:p>
      <w:r>
        <w:t>29. Kiviaho, A. et al. Single cell and spatial transcriptomics highlight the interaction of club-like cells with immunosuppressive myeloid cells in prostate cancer. Nat. Commun. 15, 9949 (2024). https://doi.org/10.1038/s41467-024-54364-1</w:t>
      </w:r>
    </w:p>
    <w:p>
      <w:r>
        <w:t>30. Wolf, F.A., Angerer, P. &amp; Theis, F.J. SCANPY: large-scale single-cell gene expression data analysis. Genome Biol. 19, 15 (2018). https://doi.org/10.1186/s13059-017-1382-0</w:t>
      </w:r>
    </w:p>
    <w:p>
      <w:r>
        <w:t>31. Hamilton, W.L., Ying, R. &amp; Leskovec, J. Inductive representation learning on large graphs. In Advances in Neural Information Processing Systems 30, 1024-1034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design reshapes apparent generalization in spatial omics prediction</dc:title>
  <dc:subject>SpatialLeak Nature Communications manuscript</dc:subject>
  <dc:creator/>
  <cp:keywords>spatial omics; data leakage; evaluation design</cp:keywords>
  <dc:description/>
  <cp:lastModifiedBy/>
  <cp:revision>1</cp:revision>
  <dcterms:created xsi:type="dcterms:W3CDTF">2026-08-11T00:00:00Z</dcterms:created>
  <dcterms:modified xsi:type="dcterms:W3CDTF">2026-08-11T00:00:00Z</dcterms:modified>
  <cp:category/>
</cp:coreProperties>
</file>