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These tasks include imputation of unmeasured genes and mapping between molecular and spatial modalities [2,3]. They also include graph-based learning from tissue neighborhoods and representation learning over spatial context [4]. Spatial graph and domain-learning methods further show how location, morphology and neighborhood structure can carry biologically meaningful information [5,6]. Histology-aware graph models and deep spatial representations extend this trend by combining molecular profiles with tissue context at increasing scale [7,8]. As spatial models are increasingly compared across tissues and cohorts, the validity of these comparisons depends not only on model architecture but also on whether the evaluation design matches the level of generalization being claimed.</w:t>
      </w:r>
    </w:p>
    <w:p>
      <w:r>
        <w:t>Spatial observations are not independent in the conventional IID sense. Random spot-level splits can place neighboring tissue locations, similar local cell compositions, the same section background or the same patient-associated structure on both sides of the train-test boundary. Under such settings, apparent test performance can combine local interpolation with broader transfer. Related forms of non-independent sampling and information leakage are known to inflate machine-learning performance estimates [9,10]. Leakage between model development and evaluation can also reduce reproducibility in biomedical prediction studies [11,12]. Gene-expression analyses have long shown the related risk that feature selection and model evaluation must be separated to avoid biased estimates [13].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[14]. A spatially aware model may legitimately exploit tissue architecture when the intended task is local interpolation or when the learned signal remains predictive across the separation required by the scientific claim. The relevant question is not whether a model uses spatial information, but whether the information it exploits remains predictive under the level of separation implied by that claim. Local interpolation, spatial transfer, section transfer, patient transfer, dataset transfer and cross-platform transfer are distinct evaluation targets and should not be treated as interchangeable.</w:t>
      </w:r>
    </w:p>
    <w:p>
      <w:r>
        <w:t>Existing spatial omics benchmarks do not consistently distinguish these levels of evidence. Spatial prediction and enhancement studies illustrate how benchmark tasks are often framed around held-out measurements within related spatial or molecular contexts [2,15]. Graph-based spatial prediction further highlights the need to distinguish useful neighborhood signal from evaluation settings that permit local interpolation [4]. It remains unclear whether apparent performance inflation is driven primarily by local spatial-neighborhood dependence, patient-associated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patient-held-out and dataset-held-out regimes across public spatial transcriptomics datasets and diagnostic model classes. We show that apparent generalization can be attenuated through distinct spatial-neighborhood and patient-associated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264827"/>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64827"/>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patient-associated structure and transportable biological signal. (c) Increasing separation adds spatial buffers, section separation, patient separation, dataset separation and platform separation. (d) The evidence hierarchy links each evaluation tier to the level of generalization it can support; signal retained under stricter tiers provides stronger evidence for transportable biology.</w:t>
      </w:r>
    </w:p>
    <w:p>
      <w:pPr>
        <w:jc w:val="center"/>
      </w:pPr>
      <w:r>
        <w:drawing>
          <wp:inline xmlns:a="http://schemas.openxmlformats.org/drawingml/2006/main" xmlns:pic="http://schemas.openxmlformats.org/drawingml/2006/picture">
            <wp:extent cx="5577840" cy="3622954"/>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3622954"/>
                    </a:xfrm>
                    <a:prstGeom prst="rect"/>
                  </pic:spPr>
                </pic:pic>
              </a:graphicData>
            </a:graphic>
          </wp:inline>
        </w:drawing>
      </w:r>
    </w:p>
    <w:p>
      <w:pPr>
        <w:spacing w:after="160"/>
      </w:pPr>
      <w:r>
        <w:rPr>
          <w:i/>
        </w:rPr>
        <w:t>Figure 2. Cross-dataset random versus strict evaluation by evidence tier. Bars show mean Pearson correlation for random splits and the relevant strict tier. Background shading separates patient-associated evaluation from spatial-buffer evaluation. Error bars indicate ±1 s.d.; s.d. is computed across 10 frozen seeds for random and spatial-buffer estimates and across held-out patient/donor groups for patient-held-out strict estimates, as specified in Source Data.</w:t>
      </w:r>
    </w:p>
    <w:p>
      <w:r>
        <w:t>The patient-channel datasets showed the clearest random-to-patient losses (Fig. 3).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320147"/>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320147"/>
                    </a:xfrm>
                    <a:prstGeom prst="rect"/>
                  </pic:spPr>
                </pic:pic>
              </a:graphicData>
            </a:graphic>
          </wp:inline>
        </w:drawing>
      </w:r>
    </w:p>
    <w:p>
      <w:pPr>
        <w:spacing w:after="160"/>
      </w:pPr>
      <w:r>
        <w:rPr>
          <w:i/>
        </w:rPr>
        <w:t>Figure 3. Two-channel landscape of apparent generalization inflation. Spatial-channel and patient-associated RLI are shown separately. NA denotes an unavailable or non-interpretable tier and is not treated as zero; &lt;0 denotes negative/no inflation.</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3721381"/>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3721381"/>
                    </a:xfrm>
                    <a:prstGeom prst="rect"/>
                  </pic:spPr>
                </pic:pic>
              </a:graphicData>
            </a:graphic>
          </wp:inline>
        </w:drawing>
      </w:r>
    </w:p>
    <w:p>
      <w:pPr>
        <w:spacing w:after="160"/>
      </w:pPr>
      <w:r>
        <w:rPr>
          <w:i/>
        </w:rPr>
        <w:t>Figure 4. Non-zero spatial buffer response. Curves show mean Pearson correlation under random, hop0, hop2 and hop5 splits. Error bars indicate ±1 s.d. across frozen seeds: 10 seeds for DLPFC and Visium breast, and 5 seeds for the GSE278936 spatial-channel pilot.</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Figure 3 summarizes the central heterogeneity result. DLPFC showed both spatial and donor-associated effects. Andersson and Thrane were patient-channel dominant. Visium breast was spatial-channel dominant but single-patient. GSE278936 replicated the spatial-channel PCA+Ridge buffer response and provided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depends materially on the evaluation design used to define generalization. Across tissues and platforms, replacing random spot-level evaluation with stricter designs attenuated performance through two separable channels: local spatial-neighborhood dependence and patient-associated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[23,24]. Benchmarking across sequencing-based spatial transcriptomics technologies has also emphasized that evaluation criteria must reflect the biological and technical question being asked [26]. SpatialLeak adds a complementary point: the split itself is part of the estimand, because different train-test boundaries test different forms of generalization.</w:t>
      </w:r>
    </w:p>
    <w:p>
      <w:r>
        <w:t>The requirement for a non-zero spatial exclusion buffer highlights a distinction between nominal partitioning and effective independence. Assigning neighboring spots to different spatial blocks prevents literal overlap, but it does not eliminate correlation generated by continuous tissue architecture, spatially structured cell composition or molecular gradients. Spatial autocorrelation is therefore not merely a property of the response variable; it can determine the effective information distance between nominally separate training and test observations [14]. Contemporary benchmarks increasingly recognize spatial continuity and technology-dependent variation as distinct dimensions of performance rather than treating observations as exchangeable [23,26]. GSE278936 illustrates this point clearly: hop0 was nearly indistinguishable from random evaluation, whereas positive exclusion distances exposed a stable loss despite random-size-matched controls. A spatial split should therefore be defined by the dependence it removes, not only by whether train and test labels occupy different geometric partitions.</w:t>
      </w:r>
    </w:p>
    <w:p>
      <w:r>
        <w:t>Patient-held-out evaluation exposed a second dependence structure that was largely orthogonal to local spatial autocorrelation. In Andersson and Thrane, substantial patient-associated losses persisted for both PCA+Ridge and GraphSAGE even when local spatial-neighbor baselines were weak, indicating that within-section proximity was insufficient to explain the observed attenuation. This channel should not be interpreted as a single batch effect. Patient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[27]. This interpretation is consistent with the broader machine-learning literature showing that non-independent grouping between development and evaluation data can produce optimistic estimates when the intended deployment unit is a new biological subject [9,10]. Patient-held-out evaluation therefore measures the portability of a predictive relationship across patient-associated contexts rather than identifying which individual source of heterogeneity caused the loss.</w:t>
      </w:r>
    </w:p>
    <w:p>
      <w:r>
        <w:t>Conversely, performance that persists after stricter separation should not be dismissed as residual leakage. Spatial organization is an intrinsic component of tissue biology, and conserved anatomical or pathological structures may legitimately support prediction across sections or patients. The important distinction is between local interpolation and transportable structure, not between models that do and do not use spatial information. Recent work on spatial prediction similarly indicates that prediction accuracy and generalizability are separate properties: methods that perform strongly within a study may show weaker cross-study or cross-platform transfer [24]. Uncertainty-aware spatial prediction frameworks further show that nominally accurate predictions can differ in reliability for downstream inference [25]. We therefore view the SpatialLeak hierarchy as an extrapolation ladder: retention under increasingly independent evaluation tiers provides progressively stronger evidence that a learned relationship reflects transportable structure. At the same time, strict-split loss can include legitimate distribution shift, so RLI should be interpreted as evaluation-dependent inflation rather than as the causal fraction of performance attributable to leakage [9].</w:t>
      </w:r>
    </w:p>
    <w:p>
      <w:r>
        <w:t>The dependence of apparent model advantage on evaluation regime has implications for how spatial omics leaderboards are interpreted. In our analyses, models that benefited strongly from local neighborhoods under random evaluation did not necessarily retain the same advantage under patient- or spatially isolated testing. This is consistent with independent spatial omics benchmarks in which no method dominates all evaluation criteria: spatial clustering algorithms show complementary performance across accuracy, continuity and robustness [23], and histology-to-expression prediction methods can rank differently for within-study accuracy, cross-study generalizability and translational utility [24]. A recent benchmark of spatial alignment methods likewise found that performance is scenario-dependent and that challenging cross-platform or multi-slice settings expose limitations that are not apparent under conventional evaluations [28]. A leaderboard without an explicit generalization regime is therefore underspecified. Spatial omics studies should specify whether model superiority refers to local interpolation, patient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[26]. Multi-site imaging-based spatial studies further demonstrate the importance of harmonized procedures and standardized reproducibility metrics when results are compared across laboratories or platforms [27]. Contemporary method benchmarks increasingly include robustness, usability and challenging cross-platform scenarios rather than relying on a single internal accuracy measure [28].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This would not mandate a universal split; it would make explicit which claim each reported performance estimate can support.</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[27]. Third, our main task focused on gene-expression prediction; evaluation dependence should also be tested in multimodal translation, spatial domain inference, alignment and representation learning, where recent benchmarks already show strong scenario-specific behavior [28]. Finally, point performance alone does not capture the reliability of predicted spatial quantities, suggesting that future leakage-resistant benchmarks should integrate uncertainty calibration and downstream inference alongside discrimination metrics [25].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no dropout, mean-squared-error loss on training nodes,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Fu,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&amp; Perlich, C. Leakage in data mining: formulation, detection, and avoidance. ACM Trans. Knowl. Discov. Data 6,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dataset, version 1.0.0, Block A Section 1; Accessed 2026-08-10.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In Advances in Neural Information Processing Systems 30 (2017).</w:t>
      </w:r>
    </w:p>
    <w:p>
      <w:r>
        <w:t>23. Yuan, Z. et al. Benchmarking spatial clustering methods with spatially resolved transcriptomics data. Nat. Methods 21, 712–722 (2024). https://doi.org/10.1038/s41592-024-02215-8</w:t>
      </w:r>
    </w:p>
    <w:p>
      <w:r>
        <w:t>24. Wang, C. et al. Benchmarking the translational potential of spatial gene expression prediction from histology. Nat. Commun. 16, 1544 (2025). https://doi.org/10.1038/s41467-025-56618-y</w:t>
      </w:r>
    </w:p>
    <w:p>
      <w:r>
        <w:t>25. Sun, E.D., Ma, R., Navarro Negredo, P., Brunet, A. &amp; Zou, J. TISSUE: uncertainty-calibrated prediction of single-cell spatial transcriptomics improves downstream analyses. Nat. Methods 21, 444–454 (2024). https://doi.org/10.1038/s41592-024-02184-y</w:t>
      </w:r>
    </w:p>
    <w:p>
      <w:r>
        <w:t>26. You, Y. et al. Systematic comparison of sequencing-based spatial transcriptomic methods. Nat. Methods 21, 1743–1754 (2024). https://doi.org/10.1038/s41592-024-02325-3</w:t>
      </w:r>
    </w:p>
    <w:p>
      <w:r>
        <w:t>27. Plummer, J.T. et al. Standardized metrics for assessment and reproducibility of imaging-based spatial transcriptomics datasets. Nat. Biotechnol. (2025). https://doi.org/10.1038/s41587-025-02811-9</w:t>
      </w:r>
    </w:p>
    <w:p>
      <w:r>
        <w:t>28. Yan, Y. et al. Benchmarking alignment methods for spatial transcriptomics data. Nat. Comput. Sci. 6, 524–541 (2026). https://doi.org/10.1038/s43588-026-00977-z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