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These tasks include imputation of unmeasured genes and mapping between molecular and spatial modalities [2,3]. They also include graph-based learning from tissue neighborhoods and representation learning over spatial context [4]. Spatial graph and domain-learning methods further show how location, morphology and neighborhood structure can carry biologically meaningful information [5,6]. Histology-aware graph models and deep spatial representations extend this trend by combining molecular profiles with tissue context at increasing scale [7,8]. As spatial models are increasingly compared across tissues and cohorts, the validity of these comparisons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Related forms of non-independent sampling and information leakage are known to inflate machine-learning performance estimates [9,10]. Leakage between model development and evaluation can also reduce reproducibility in biomedical prediction studies [11,12]. Gene-expression analyses have long shown the related risk that feature selection and model evaluation must be separated to avoid biased estimates [13].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[14]. A spatially aware model may legitimately exploit tissue architecture when the intended task is local interpolation or when the learned signal remains predictive across the separation required by the scientific claim.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spatial omics benchmarks do not consistently distinguish these levels of evidence. Spatial prediction and enhancement studies illustrate how benchmark tasks are often framed around held-out measurements within related spatial or molecular contexts [2,15]. Graph-based spatial prediction further highlights the need to distinguish useful neighborhood signal from evaluation settings that permit local interpolation [4].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biological signal. (c) Increasing separation adds spatial buffers, section separation, patient separation, dataset separation and platform separation. (d) The evidence hierarchy links each evaluation tier to the level of generalization it can support; signal retained under stricter tiers provides stronger evidence for transportable biology.</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Patient-associated evaluation compares random spot-level performance with patient-held-out performance in datasets supporting patient-level separation. (b) Spatial evaluation compares random performance with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patient-held-out estimates summarize held-out patient/donor groups as detailed in Source Data. Model-dataset combinations with near-zero random performance, for which relative inflation is not interpretable, are excluded from the main display and reported in the Supplementary Information.</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buffered spatial evaluation, whereas the patient-associated channel reports RLI between random and patient-held-out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3721381"/>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3721381"/>
                    </a:xfrm>
                    <a:prstGeom prst="rect"/>
                  </pic:spPr>
                </pic:pic>
              </a:graphicData>
            </a:graphic>
          </wp:inline>
        </w:drawing>
      </w:r>
    </w:p>
    <w:p>
      <w:pPr>
        <w:spacing w:after="160"/>
      </w:pPr>
      <w:r>
        <w:rPr>
          <w:i/>
        </w:rPr>
        <w:t>Figure 4. Non-zero spatial buffer response. Curves show mean Pearson correlation under random, hop0, hop2 and hop5 splits. Error bars indicate ±1 s.d. across frozen seeds: 10 seeds for DLPFC and Visium breast, and 5 seeds for the GSE278936 spatial-channel pilot.</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patient-associated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Benchmarking across sequencing-based spatial transcriptomics technologies has also emphasized that evaluation criteria must reflect the biological and technical question being asked [26].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[14]. Contemporary benchmarks increasingly recognize spatial continuity and technology-dependent variation as distinct dimensions of performance rather than treating observations as exchangeable [23,26].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[27]. This interpretation is consistent with the broader machine-learning literature showing that non-independent grouping between development and evaluation data can produce optimistic estimates when the intended deployment unit is a new biological subject [9,10].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Uncertainty-aware spatial prediction frameworks further show that nominally accurate predictions can differ in reliability for downstream inference [25].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[9].</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[26]. Multi-site imaging-based spatial studies further demonstrate the importance of harmonized procedures and standardized reproducibility metrics when results are compared across laboratories or platforms [27]. Contemporary method benchmarks increasingly include robustness, usability and challenging cross-platform scenarios rather than relying on a single internal accuracy measure [28].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[27]. Third, our main task focused on gene-expression prediction; evaluation dependence should also be tested in multimodal translation, spatial domain inference, alignment and representation learning, where recent benchmarks already show strong scenario-specific behavior [28].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Xu, H. et al. Unsupervised spatially embedded deep representation of spatial transcriptomics. Genome Med. 16, 12 (2024). https://doi.org/10.1186/s13073-024-01283-x</w:t>
      </w:r>
    </w:p>
    <w:p>
      <w:r>
        <w:t>9. Kapoor, S. &amp; Narayanan, A. Leakage and the reproducibility crisis in machine-learning-based science. Patterns 4, 100804 (2023). https://doi.org/10.1016/j.patter.2023.100804</w:t>
      </w:r>
    </w:p>
    <w:p>
      <w:r>
        <w:t>10. Kaufman, S., Rosset, S., Perlich, C. &amp; Stitelman, O. Leakage in data mining. ACM Trans. Knowl. Discov. Data 6, 1-21 (2012). https://doi.org/10.1145/2382577.2382579</w:t>
      </w:r>
    </w:p>
    <w:p>
      <w:r>
        <w:t>11. Vabalas, A., Gowen, E., Poliakoff, E. &amp; Casson, A.J. Machine learning algorithm validation with a limited sample size. PLOS ONE 14, e0224365 (2019). https://doi.org/10.1371/journal.pone.0224365</w:t>
      </w:r>
    </w:p>
    <w:p>
      <w:r>
        <w:t>12. Varma, S. &amp; Simon, R. Bias in error estimation when using cross-validation for model selection. BMC Bioinformatics 7, 91 (2006). https://doi.org/10.1186/1471-2105-7-91</w:t>
      </w:r>
    </w:p>
    <w:p>
      <w:r>
        <w:t>13. Ambroise, C. &amp; McLachlan, G.J. Selection bias in gene extraction on the basis of microarray gene-expression data. Proc. Natl Acad. Sci. USA 99, 6562-6566 (2002). https://doi.org/10.1073/pnas.102102699</w:t>
      </w:r>
    </w:p>
    <w:p>
      <w:r>
        <w:t>14. Moran, P.A.P. Notes on continuous stochastic phenomena. Biometrika 37, 17–23 (1950). https://doi.org/10.1093/biomet/37.1-2.17</w:t>
      </w:r>
    </w:p>
    <w:p>
      <w:r>
        <w:t>15. He, B. et al. Integrating spatial gene expression and breast tumour morphology via deep learning. Nat. Biomed. Eng. 4, 827-834 (2020). https://doi.org/10.1038/s41551-020-0578-x</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You, Y. et al. Systematic comparison of sequencing-based spatial transcriptomic methods. Nat. Methods 21, 1743-1754 (2024). https://doi.org/10.1038/s41592-024-02325-3</w:t>
      </w:r>
    </w:p>
    <w:p>
      <w:r>
        <w:t>27. Plummer, J.T. et al. Standardized metrics for assessment and reproducibility of imaging-based spatial transcriptomics datasets. Nat. Biotechnol. 44, 1213-1225 (2026). https://doi.org/10.1038/s41587-025-02811-9</w:t>
      </w:r>
    </w:p>
    <w:p>
      <w:r>
        <w:t>28.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