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INTAKE FORM (8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What is the core problem in 1–2 sentences?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Who owns this problem and what do they control?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What are the hard constraints (time, budget, people, compliance)?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What does success look like (metrics, target)?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Where does the problem happen (process, team, system boundary)?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What trade‑off is blocking progress (X improves, Y worsens)?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What resources already exist we can reuse?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What is the time horizon for results (e.g., 2–4 weeks)?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__________________________________________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