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Aptos Display" w:hAnsi="Aptos Display"/>
          <w:b/>
          <w:color w:val="1F374E"/>
          <w:sz w:val="50"/>
        </w:rPr>
        <w:t>METACOGNITIVE TRANSFORMER ARCHITECTURE</w:t>
      </w:r>
    </w:p>
    <w:p>
      <w:pPr>
        <w:jc w:val="center"/>
      </w:pPr>
      <w:r>
        <w:rPr>
          <w:b/>
          <w:sz w:val="40"/>
        </w:rPr>
        <w:t>(MTA)</w:t>
      </w:r>
    </w:p>
    <w:p>
      <w:pPr>
        <w:spacing w:before="320"/>
        <w:jc w:val="center"/>
      </w:pPr>
      <w:r>
        <w:rPr>
          <w:i/>
          <w:sz w:val="30"/>
        </w:rPr>
        <w:t>Context-Persistent Alignment and the Hypothesis of Absorption Drift</w:t>
      </w:r>
    </w:p>
    <w:p>
      <w:pPr>
        <w:spacing w:before="960"/>
        <w:jc w:val="center"/>
      </w:pPr>
      <w:r>
        <w:t>Working Paper — Revised Architecture Specification</w:t>
        <w:br/>
        <w:t>Revision 0.2 | 9 October 2026</w:t>
        <w:br/>
        <w:t>Independent Research Draft</w:t>
      </w:r>
    </w:p>
    <w:p>
      <w:r>
        <w:br w:type="page"/>
      </w:r>
    </w:p>
    <w:p>
      <w:pPr>
        <w:pStyle w:val="Heading1"/>
      </w:pPr>
      <w:r>
        <w:t>Revision status and editorial policy</w:t>
      </w:r>
    </w:p>
    <w:p>
      <w:r>
        <w:t>This revision consolidates the original MTA working paper with the proposed three-stage alignment framework and the architectural critique supplied during discussion. It is a research draft, not a claim that MTA has been implemented or validated.</w:t>
      </w:r>
    </w:p>
    <w:p>
      <w:r>
        <w:t>The original file is preserved separately. This revision does not silently treat earlier theoretical claims as established findings. It retains absorption as the central hypothesis, but separates behavioural evidence, mechanistic hypotheses, and normative commitments.</w:t>
      </w:r>
    </w:p>
    <w:tbl>
      <w:tblPr>
        <w:tblStyle w:val="LightShading-Accent1"/>
        <w:tblW w:type="auto" w:w="0"/>
        <w:tblLook w:firstColumn="1" w:firstRow="1" w:lastColumn="0" w:lastRow="0" w:noHBand="0" w:noVBand="1" w:val="04A0"/>
      </w:tblPr>
      <w:tblGrid>
        <w:gridCol w:w="4896"/>
        <w:gridCol w:w="4896"/>
      </w:tblGrid>
      <w:tr>
        <w:tc>
          <w:tcPr>
            <w:tcW w:type="dxa" w:w="2304"/>
          </w:tcPr>
          <w:p>
            <w:r>
              <w:rPr>
                <w:b/>
              </w:rPr>
              <w:t>Label</w:t>
            </w:r>
          </w:p>
        </w:tc>
        <w:tc>
          <w:tcPr>
            <w:tcW w:type="dxa" w:w="8208"/>
          </w:tcPr>
          <w:p>
            <w:r>
              <w:rPr>
                <w:b/>
              </w:rPr>
              <w:t>Meaning in this document</w:t>
            </w:r>
          </w:p>
        </w:tc>
      </w:tr>
      <w:tr>
        <w:tc>
          <w:tcPr>
            <w:tcW w:type="dxa" w:w="2304"/>
          </w:tcPr>
          <w:p>
            <w:r>
              <w:t>Established design choice</w:t>
            </w:r>
          </w:p>
        </w:tc>
        <w:tc>
          <w:tcPr>
            <w:tcW w:type="dxa" w:w="8208"/>
          </w:tcPr>
          <w:p>
            <w:r>
              <w:t>A specification selected for the proposed prototype; it may still prove ineffective.</w:t>
            </w:r>
          </w:p>
        </w:tc>
      </w:tr>
      <w:tr>
        <w:tc>
          <w:tcPr>
            <w:tcW w:type="dxa" w:w="2304"/>
          </w:tcPr>
          <w:p>
            <w:r>
              <w:t>Hypothesis</w:t>
            </w:r>
          </w:p>
        </w:tc>
        <w:tc>
          <w:tcPr>
            <w:tcW w:type="dxa" w:w="8208"/>
          </w:tcPr>
          <w:p>
            <w:r>
              <w:t>A claim that requires empirical testing.</w:t>
            </w:r>
          </w:p>
        </w:tc>
      </w:tr>
      <w:tr>
        <w:tc>
          <w:tcPr>
            <w:tcW w:type="dxa" w:w="2304"/>
          </w:tcPr>
          <w:p>
            <w:r>
              <w:t>Open research question</w:t>
            </w:r>
          </w:p>
        </w:tc>
        <w:tc>
          <w:tcPr>
            <w:tcW w:type="dxa" w:w="8208"/>
          </w:tcPr>
          <w:p>
            <w:r>
              <w:t>A point for which the present framework does not yet provide a validated answer.</w:t>
            </w:r>
          </w:p>
        </w:tc>
      </w:tr>
      <w:tr>
        <w:tc>
          <w:tcPr>
            <w:tcW w:type="dxa" w:w="2304"/>
          </w:tcPr>
          <w:p>
            <w:r>
              <w:t>Normative proposal</w:t>
            </w:r>
          </w:p>
        </w:tc>
        <w:tc>
          <w:tcPr>
            <w:tcW w:type="dxa" w:w="8208"/>
          </w:tcPr>
          <w:p>
            <w:r>
              <w:t>A proposed value or governance rule, not a result derived from the experiments.</w:t>
            </w:r>
          </w:p>
        </w:tc>
      </w:tr>
    </w:tbl>
    <w:p>
      <w:pPr>
        <w:pStyle w:val="Heading2"/>
      </w:pPr>
      <w:r>
        <w:t>Changes made in Revision 0.2</w:t>
      </w:r>
    </w:p>
    <w:p>
      <w:pPr>
        <w:pStyle w:val="ListBullet"/>
      </w:pPr>
      <w:r>
        <w:t>Separated the three research stages: reflective intent–context–objective alignment; MTA for context-persistent monitoring; and ethical autonomy/governance for highly autonomous systems.</w:t>
      </w:r>
    </w:p>
    <w:p>
      <w:pPr>
        <w:pStyle w:val="ListBullet"/>
      </w:pPr>
      <w:r>
        <w:t>Replaced the ambiguous claim of a second conventional attention head that can halt generation with a proposed dual-stream latent coprocessor and an explicit action-gating interface.</w:t>
      </w:r>
    </w:p>
    <w:p>
      <w:pPr>
        <w:pStyle w:val="ListBullet"/>
      </w:pPr>
      <w:r>
        <w:t>Moved the initial implementation target from transformer-internal modification to an external controller, while keeping the dual-stream mechanism as a later architectural hypothesis.</w:t>
      </w:r>
    </w:p>
    <w:p>
      <w:pPr>
        <w:pStyle w:val="ListBullet"/>
      </w:pPr>
      <w:r>
        <w:t>Replaced unsupported claims of an intrinsic geometric conscience with testable, operational monitoring signals.</w:t>
      </w:r>
    </w:p>
    <w:p>
      <w:pPr>
        <w:pStyle w:val="ListBullet"/>
      </w:pPr>
      <w:r>
        <w:t>Added event-triggered checks, independent verification layers, immutable policy state, provenance-linked context memory, and safe escalation.</w:t>
      </w:r>
    </w:p>
    <w:p>
      <w:pPr>
        <w:pStyle w:val="ListBullet"/>
      </w:pPr>
      <w:r>
        <w:t>Added falsifiable hypotheses, baselines, negative controls, metrics, and explicit alternative explanations.</w:t>
      </w:r>
    </w:p>
    <w:p>
      <w:pPr>
        <w:pStyle w:val="ListBullet"/>
      </w:pPr>
      <w:r>
        <w:t>Marked ethical axioms, autonomy jurisdiction, and any claim of architectural necessity as normative or speculative rather than empirically established.</w:t>
      </w:r>
    </w:p>
    <w:p>
      <w:pPr>
        <w:pStyle w:val="Heading1"/>
      </w:pPr>
      <w:r>
        <w:t>Abstract</w:t>
      </w:r>
    </w:p>
    <w:p>
      <w:r>
        <w:t>This paper proposes that sustained task-focused processing may reduce a model’s behavioural sensitivity to contextual conditions that govern whether its current objective remains appropriate. We call this hypothesised failure mode absorption drift. The defining signature is not simply forgetting a rule: it is a measurable divergence between a model’s ability to state relevant constraints and its ability to apply those constraints when selecting or executing actions. This remains a hypothesis, not an established general property of language models.</w:t>
      </w:r>
    </w:p>
    <w:p>
      <w:r>
        <w:t>We distinguish three complementary research stages. Stage 1, Reflective Intent–Context–Objective Alignment, uses deliberation to interpret requests and assess whether an objective fits the person’s likely intended outcome and the surrounding circumstances. Stage 2, the Metacognitive Transformer Architecture (MTA), investigates whether a separate context-monitoring pathway can preserve sensitivity to evolving context during sustained task execution, rather than relying exclusively on repeated reflection by the task model. Stage 3, Ethical Autonomy and Governance, addresses the additional problem of governing consequential action by increasingly autonomous systems.</w:t>
      </w:r>
    </w:p>
    <w:p>
      <w:r>
        <w:t>The proposed MTA is an asymmetric dual-path design: a task stream produces plans and candidate actions, while a metacognitive stream updates a compact representation of decision-relevant context and evaluates whether the active objective remains valid. Monitoring is event-triggered at decision boundaries and environmental updates. A separate action governor combines deterministic checks, optional independent critics, and contextual reassessment to choose among proceed, revise, suspend, or stop. The initial prototype will be an external, model-agnostic controller; transformer-level integration is a later research target.</w:t>
      </w:r>
    </w:p>
    <w:p>
      <w:r>
        <w:t>The paper specifies the architecture, its interfaces, threat model, failure cases, and a staged evaluation plan. It deliberately avoids claiming that a scalar consistency score, a second stream, immutable storage, or any particular ethical hierarchy guarantees alignment. The core empirical question is whether context-persistent monitoring improves appropriate action selection under sustained task pressure and changing circumstances without producing excessive interruption or false alarms.</w:t>
      </w:r>
    </w:p>
    <w:p>
      <w:pPr>
        <w:pStyle w:val="Heading1"/>
      </w:pPr>
      <w:r>
        <w:t>1. Problem statement</w:t>
      </w:r>
    </w:p>
    <w:p>
      <w:pPr>
        <w:pStyle w:val="Heading2"/>
      </w:pPr>
      <w:r>
        <w:t>1.1 The absorption-drift hypothesis</w:t>
      </w:r>
    </w:p>
    <w:p>
      <w:r>
        <w:t>A system may begin a task with access to relevant constraints and an adequate understanding of why the task matters. As it generates plans, uses tools, and accumulates intermediate state, local task representations may dominate the decision process. The system may continue to optimize the immediate objective even after new evidence makes that objective unsafe, invalid, or no longer aligned with its governing purpose.</w:t>
      </w:r>
    </w:p>
    <w:p>
      <w:r>
        <w:t>The proposed term absorption drift refers to a reduction in behavioural sensitivity to the contextual conditions that determine the appropriateness of an ongoing objective during sustained goal-directed processing. The hypothesis is narrower than the claim that values disappear from a model. A model may still retrieve or repeat a constraint while failing to apply it at a decision point.</w:t>
      </w:r>
    </w:p>
    <w:p>
      <w:r>
        <w:t>The primary behavioural signature to test is therefore a recall–application dissociation: relevant constraints remain accessible in a direct question or summary, while the model’s chosen action violates them in a matched decision task. This pattern alone does not establish a latent attentional mechanism. Competing explanations include instruction conflict, retrieval failure, context-window effects, reward or incentive conflict, planning error, poor world modelling, and ordinary stochastic variability.</w:t>
      </w:r>
    </w:p>
    <w:p>
      <w:pPr>
        <w:pStyle w:val="Heading2"/>
      </w:pPr>
      <w:r>
        <w:t>1.2 What the hypothesis does not assume</w:t>
      </w:r>
    </w:p>
    <w:p>
      <w:pPr>
        <w:pStyle w:val="ListBullet"/>
      </w:pPr>
      <w:r>
        <w:t>It does not assume that absorption drift has already been demonstrated across models or tasks.</w:t>
      </w:r>
    </w:p>
    <w:p>
      <w:pPr>
        <w:pStyle w:val="ListBullet"/>
      </w:pPr>
      <w:r>
        <w:t>It does not assume that all alignment failures are caused by attention or context competition.</w:t>
      </w:r>
    </w:p>
    <w:p>
      <w:pPr>
        <w:pStyle w:val="ListBullet"/>
      </w:pPr>
      <w:r>
        <w:t>It does not assume that a model has consciousness, subjective absorption, or human-like intentions.</w:t>
      </w:r>
    </w:p>
    <w:p>
      <w:pPr>
        <w:pStyle w:val="ListBullet"/>
      </w:pPr>
      <w:r>
        <w:t>It does not assume that a geometric distance between hidden-state vectors is automatically a valid measure of ethical or contextual alignment.</w:t>
      </w:r>
    </w:p>
    <w:p>
      <w:pPr>
        <w:pStyle w:val="ListBullet"/>
      </w:pPr>
      <w:r>
        <w:t>It does not assume that human oversight is useless. It argues only that oversight should not be the sole safety mechanism and should itself be designed against conflicts of interest and predictable error.</w:t>
      </w:r>
    </w:p>
    <w:p>
      <w:pPr>
        <w:pStyle w:val="Heading1"/>
      </w:pPr>
      <w:r>
        <w:t>2. The three-stage alignment programme</w:t>
      </w:r>
    </w:p>
    <w:tbl>
      <w:tblPr>
        <w:tblStyle w:val="LightShading-Accent1"/>
        <w:tblW w:type="auto" w:w="0"/>
        <w:tblLook w:firstColumn="1" w:firstRow="1" w:lastColumn="0" w:lastRow="0" w:noHBand="0" w:noVBand="1" w:val="04A0"/>
      </w:tblPr>
      <w:tblGrid>
        <w:gridCol w:w="2448"/>
        <w:gridCol w:w="2448"/>
        <w:gridCol w:w="2448"/>
        <w:gridCol w:w="2448"/>
      </w:tblGrid>
      <w:tr>
        <w:tc>
          <w:tcPr>
            <w:tcW w:type="dxa" w:w="2520"/>
          </w:tcPr>
          <w:p>
            <w:r>
              <w:rPr>
                <w:b/>
              </w:rPr>
              <w:t>Stage</w:t>
            </w:r>
          </w:p>
        </w:tc>
        <w:tc>
          <w:tcPr>
            <w:tcW w:type="dxa" w:w="3024"/>
          </w:tcPr>
          <w:p>
            <w:r>
              <w:rPr>
                <w:b/>
              </w:rPr>
              <w:t>Problem</w:t>
            </w:r>
          </w:p>
        </w:tc>
        <w:tc>
          <w:tcPr>
            <w:tcW w:type="dxa" w:w="2880"/>
          </w:tcPr>
          <w:p>
            <w:r>
              <w:rPr>
                <w:b/>
              </w:rPr>
              <w:t>Primary mechanism</w:t>
            </w:r>
          </w:p>
        </w:tc>
        <w:tc>
          <w:tcPr>
            <w:tcW w:type="dxa" w:w="2880"/>
          </w:tcPr>
          <w:p>
            <w:r>
              <w:rPr>
                <w:b/>
              </w:rPr>
              <w:t>Research question</w:t>
            </w:r>
          </w:p>
        </w:tc>
      </w:tr>
      <w:tr>
        <w:tc>
          <w:tcPr>
            <w:tcW w:type="dxa" w:w="2520"/>
          </w:tcPr>
          <w:p>
            <w:r>
              <w:t>1. Reflective Intent–Context–Objective Alignment</w:t>
            </w:r>
          </w:p>
        </w:tc>
        <w:tc>
          <w:tcPr>
            <w:tcW w:type="dxa" w:w="3024"/>
          </w:tcPr>
          <w:p>
            <w:r>
              <w:t>The stated task may not faithfully represent the intended outcome or relevant circumstances.</w:t>
            </w:r>
          </w:p>
        </w:tc>
        <w:tc>
          <w:tcPr>
            <w:tcW w:type="dxa" w:w="2880"/>
          </w:tcPr>
          <w:p>
            <w:r>
              <w:t>Structured interpretation, uncertainty representation, deliberation, clarification.</w:t>
            </w:r>
          </w:p>
        </w:tc>
        <w:tc>
          <w:tcPr>
            <w:tcW w:type="dxa" w:w="2880"/>
          </w:tcPr>
          <w:p>
            <w:r>
              <w:t>Given the request and context, is this the right objective to pursue?</w:t>
            </w:r>
          </w:p>
        </w:tc>
      </w:tr>
      <w:tr>
        <w:tc>
          <w:tcPr>
            <w:tcW w:type="dxa" w:w="2520"/>
          </w:tcPr>
          <w:p>
            <w:r>
              <w:t>2. Metacognitive Transformer Architecture (MTA)</w:t>
            </w:r>
          </w:p>
        </w:tc>
        <w:tc>
          <w:tcPr>
            <w:tcW w:type="dxa" w:w="3024"/>
          </w:tcPr>
          <w:p>
            <w:r>
              <w:t>The system may become less sensitive to context while pursuing an objective over time.</w:t>
            </w:r>
          </w:p>
        </w:tc>
        <w:tc>
          <w:tcPr>
            <w:tcW w:type="dxa" w:w="2880"/>
          </w:tcPr>
          <w:p>
            <w:r>
              <w:t>A separate context-monitoring pathway, event-triggered checks, action gating.</w:t>
            </w:r>
          </w:p>
        </w:tc>
        <w:tc>
          <w:tcPr>
            <w:tcW w:type="dxa" w:w="2880"/>
          </w:tcPr>
          <w:p>
            <w:r>
              <w:t>Does contextual sensitivity persist during sustained execution and after context changes?</w:t>
            </w:r>
          </w:p>
        </w:tc>
      </w:tr>
      <w:tr>
        <w:tc>
          <w:tcPr>
            <w:tcW w:type="dxa" w:w="2520"/>
          </w:tcPr>
          <w:p>
            <w:r>
              <w:t>3. Ethical Autonomy and Governance</w:t>
            </w:r>
          </w:p>
        </w:tc>
        <w:tc>
          <w:tcPr>
            <w:tcW w:type="dxa" w:w="3024"/>
          </w:tcPr>
          <w:p>
            <w:r>
              <w:t>An autonomous system may act consequentially even when intent is understood and context is tracked.</w:t>
            </w:r>
          </w:p>
        </w:tc>
        <w:tc>
          <w:tcPr>
            <w:tcW w:type="dxa" w:w="2880"/>
          </w:tcPr>
          <w:p>
            <w:r>
              <w:t>Explicit constraints, permission boundaries, impact review, auditability, escalation and oversight.</w:t>
            </w:r>
          </w:p>
        </w:tc>
        <w:tc>
          <w:tcPr>
            <w:tcW w:type="dxa" w:w="2880"/>
          </w:tcPr>
          <w:p>
            <w:r>
              <w:t>What may the system do independently, under which constraints, and with what accountability?</w:t>
            </w:r>
          </w:p>
        </w:tc>
      </w:tr>
    </w:tbl>
    <w:p>
      <w:pPr>
        <w:pStyle w:val="Heading2"/>
      </w:pPr>
      <w:r>
        <w:t>2.1 Stage 1: reflective alignment</w:t>
      </w:r>
    </w:p>
    <w:p>
      <w:r>
        <w:t>Stage 1 treats user intent as an inference problem rather than an observable fact. The system distinguishes explicit instructions, inferred desired outcomes, assumptions, alternative interpretations, and uncertainty. It represents the context relevant to the task, including affected parties, constraints, preconditions, and foreseeable consequences. It may ask for clarification when uncertainty is consequential.</w:t>
      </w:r>
    </w:p>
    <w:p>
      <w:r>
        <w:t>Reflection is useful but not sufficient. It can be expensive, can rationalize an initial framing, and can share the same blind spots as the task model. Stage 1 is a deliberative capability; it is not the proposed solution to persistent monitoring during long-running execution.</w:t>
      </w:r>
    </w:p>
    <w:p>
      <w:pPr>
        <w:pStyle w:val="Heading2"/>
      </w:pPr>
      <w:r>
        <w:t>2.2 Stage 2: MTA</w:t>
      </w:r>
    </w:p>
    <w:p>
      <w:r>
        <w:t>MTA investigates an architectural separation between task production and context monitoring. The context pathway should track changes in the conditions that make the objective appropriate, not merely repeat a stored rule. It should influence action selection through a defined interface, rather than depending on the task model voluntarily obeying a natural-language warning.</w:t>
      </w:r>
    </w:p>
    <w:p>
      <w:pPr>
        <w:pStyle w:val="Heading2"/>
      </w:pPr>
      <w:r>
        <w:t>2.3 Stage 3: ethical autonomy and governance</w:t>
      </w:r>
    </w:p>
    <w:p>
      <w:r>
        <w:t>Stage 3 concerns the authority to act. Even a system with good intent inference and effective context monitoring needs explicit limits on tools, permissions, irreversible operations, and delegated authority. Governance also requires procedures for conflicting constraints, uncertainty, audit, and authorized policy change. A system’s ability to identify a questionable constraint does not grant it permission to silently rewrite that constraint.</w:t>
      </w:r>
    </w:p>
    <w:p>
      <w:r>
        <w:t>The stages are related but not interchangeable. Stage 1 asks whether the objective is well understood and justified in context. Stage 2 asks whether that relationship remains behaviourally active as the situation evolves. Stage 3 asks which actions the system is permitted to take and how consequential autonomy is governed.</w:t>
      </w:r>
    </w:p>
    <w:p>
      <w:pPr>
        <w:pStyle w:val="Heading1"/>
      </w:pPr>
      <w:r>
        <w:t>3. Design principles</w:t>
      </w:r>
    </w:p>
    <w:p>
      <w:pPr>
        <w:pStyle w:val="ListBullet"/>
      </w:pPr>
      <w:r>
        <w:t>Context-conditioned objectives: an objective is stored together with its purpose, assumptions, validity conditions, constraints, affected parties, and suspension conditions.</w:t>
      </w:r>
    </w:p>
    <w:p>
      <w:pPr>
        <w:pStyle w:val="ListBullet"/>
      </w:pPr>
      <w:r>
        <w:t>Separation of proposal and authorization: the task model may propose an action; a distinct governor authorizes, modifies, suspends, or rejects it.</w:t>
      </w:r>
    </w:p>
    <w:p>
      <w:pPr>
        <w:pStyle w:val="ListBullet"/>
      </w:pPr>
      <w:r>
        <w:t>Event-triggered reassessment: use lightweight checks at meaningful boundaries instead of expensive full reflection after every token.</w:t>
      </w:r>
    </w:p>
    <w:p>
      <w:pPr>
        <w:pStyle w:val="ListBullet"/>
      </w:pPr>
      <w:r>
        <w:t>Independent enforcement where feasible: enforce permissions and invariants in ordinary code, not solely through model instructions.</w:t>
      </w:r>
    </w:p>
    <w:p>
      <w:pPr>
        <w:pStyle w:val="ListBullet"/>
      </w:pPr>
      <w:r>
        <w:t>Provenance and uncertainty: retain links from compressed context to the observations from which it was derived, and represent missing or conflicting information.</w:t>
      </w:r>
    </w:p>
    <w:p>
      <w:pPr>
        <w:pStyle w:val="ListBullet"/>
      </w:pPr>
      <w:r>
        <w:t>Reversibility-sensitive caution: require stronger checks for actions that are irreversible, externally visible, high-impact, or difficult to undo.</w:t>
      </w:r>
    </w:p>
    <w:p>
      <w:pPr>
        <w:pStyle w:val="ListBullet"/>
      </w:pPr>
      <w:r>
        <w:t>Fail-safe escalation: if a decision cannot be resolved within a bounded reassessment budget, suspend the action and escalate rather than forcing execution.</w:t>
      </w:r>
    </w:p>
    <w:p>
      <w:pPr>
        <w:pStyle w:val="ListBullet"/>
      </w:pPr>
      <w:r>
        <w:t>Measured claims: distinguish demonstrated behavioural improvements from speculative claims about hidden representations or transformer internals.</w:t>
      </w:r>
    </w:p>
    <w:p>
      <w:pPr>
        <w:pStyle w:val="Heading1"/>
      </w:pPr>
      <w:r>
        <w:t>4. Proposed architecture</w:t>
      </w:r>
    </w:p>
    <w:p>
      <w:pPr>
        <w:pStyle w:val="Heading2"/>
      </w:pPr>
      <w:r>
        <w:t>4.1 Components and responsibilities</w:t>
      </w:r>
    </w:p>
    <w:tbl>
      <w:tblPr>
        <w:tblStyle w:val="LightShading-Accent1"/>
        <w:tblW w:type="auto" w:w="0"/>
        <w:tblLook w:firstColumn="1" w:firstRow="1" w:lastColumn="0" w:lastRow="0" w:noHBand="0" w:noVBand="1" w:val="04A0"/>
      </w:tblPr>
      <w:tblGrid>
        <w:gridCol w:w="2448"/>
        <w:gridCol w:w="2448"/>
        <w:gridCol w:w="2448"/>
        <w:gridCol w:w="2448"/>
      </w:tblGrid>
      <w:tr>
        <w:tc>
          <w:tcPr>
            <w:tcW w:type="dxa" w:w="1944"/>
          </w:tcPr>
          <w:p>
            <w:r>
              <w:rPr>
                <w:b/>
              </w:rPr>
              <w:t>Component</w:t>
            </w:r>
          </w:p>
        </w:tc>
        <w:tc>
          <w:tcPr>
            <w:tcW w:type="dxa" w:w="2016"/>
          </w:tcPr>
          <w:p>
            <w:r>
              <w:rPr>
                <w:b/>
              </w:rPr>
              <w:t>Input</w:t>
            </w:r>
          </w:p>
        </w:tc>
        <w:tc>
          <w:tcPr>
            <w:tcW w:type="dxa" w:w="3672"/>
          </w:tcPr>
          <w:p>
            <w:r>
              <w:rPr>
                <w:b/>
              </w:rPr>
              <w:t>Output / responsibility</w:t>
            </w:r>
          </w:p>
        </w:tc>
        <w:tc>
          <w:tcPr>
            <w:tcW w:type="dxa" w:w="2664"/>
          </w:tcPr>
          <w:p>
            <w:r>
              <w:rPr>
                <w:b/>
              </w:rPr>
              <w:t>Boundary</w:t>
            </w:r>
          </w:p>
        </w:tc>
      </w:tr>
      <w:tr>
        <w:tc>
          <w:tcPr>
            <w:tcW w:type="dxa" w:w="1944"/>
          </w:tcPr>
          <w:p>
            <w:r>
              <w:t>Intent Interpreter</w:t>
            </w:r>
          </w:p>
        </w:tc>
        <w:tc>
          <w:tcPr>
            <w:tcW w:type="dxa" w:w="2016"/>
          </w:tcPr>
          <w:p>
            <w:r>
              <w:t>User request and known history</w:t>
            </w:r>
          </w:p>
        </w:tc>
        <w:tc>
          <w:tcPr>
            <w:tcW w:type="dxa" w:w="3672"/>
          </w:tcPr>
          <w:p>
            <w:r>
              <w:t>Explicit request, inferred outcome, assumptions, alternatives, uncertainty, clarification need.</w:t>
            </w:r>
          </w:p>
        </w:tc>
        <w:tc>
          <w:tcPr>
            <w:tcW w:type="dxa" w:w="2664"/>
          </w:tcPr>
          <w:p>
            <w:r>
              <w:t>Must not present inferred intent as certain.</w:t>
            </w:r>
          </w:p>
        </w:tc>
      </w:tr>
      <w:tr>
        <w:tc>
          <w:tcPr>
            <w:tcW w:type="dxa" w:w="1944"/>
          </w:tcPr>
          <w:p>
            <w:r>
              <w:t>Context Engine</w:t>
            </w:r>
          </w:p>
        </w:tc>
        <w:tc>
          <w:tcPr>
            <w:tcW w:type="dxa" w:w="2016"/>
          </w:tcPr>
          <w:p>
            <w:r>
              <w:t>Observations, tool results, task state</w:t>
            </w:r>
          </w:p>
        </w:tc>
        <w:tc>
          <w:tcPr>
            <w:tcW w:type="dxa" w:w="3672"/>
          </w:tcPr>
          <w:p>
            <w:r>
              <w:t>Versioned context state with affected parties, constraints, dependencies, evidence, uncertainty and provenance.</w:t>
            </w:r>
          </w:p>
        </w:tc>
        <w:tc>
          <w:tcPr>
            <w:tcW w:type="dxa" w:w="2664"/>
          </w:tcPr>
          <w:p>
            <w:r>
              <w:t>Compression must preserve retrieval paths to raw evidence.</w:t>
            </w:r>
          </w:p>
        </w:tc>
      </w:tr>
      <w:tr>
        <w:tc>
          <w:tcPr>
            <w:tcW w:type="dxa" w:w="1944"/>
          </w:tcPr>
          <w:p>
            <w:r>
              <w:t>Goal–Context Binding Engine</w:t>
            </w:r>
          </w:p>
        </w:tc>
        <w:tc>
          <w:tcPr>
            <w:tcW w:type="dxa" w:w="2016"/>
          </w:tcPr>
          <w:p>
            <w:r>
              <w:t>Goal, context, policy constraints</w:t>
            </w:r>
          </w:p>
        </w:tc>
        <w:tc>
          <w:tcPr>
            <w:tcW w:type="dxa" w:w="3672"/>
          </w:tcPr>
          <w:p>
            <w:r>
              <w:t>A bound objective with purpose, validity predicates, invariants, success criteria and suspension conditions.</w:t>
            </w:r>
          </w:p>
        </w:tc>
        <w:tc>
          <w:tcPr>
            <w:tcW w:type="dxa" w:w="2664"/>
          </w:tcPr>
          <w:p>
            <w:r>
              <w:t>Task model cannot silently rewrite governing conditions.</w:t>
            </w:r>
          </w:p>
        </w:tc>
      </w:tr>
      <w:tr>
        <w:tc>
          <w:tcPr>
            <w:tcW w:type="dxa" w:w="1944"/>
          </w:tcPr>
          <w:p>
            <w:r>
              <w:t>Task Stream</w:t>
            </w:r>
          </w:p>
        </w:tc>
        <w:tc>
          <w:tcPr>
            <w:tcW w:type="dxa" w:w="2016"/>
          </w:tcPr>
          <w:p>
            <w:r>
              <w:t>Bound objective, context snapshot</w:t>
            </w:r>
          </w:p>
        </w:tc>
        <w:tc>
          <w:tcPr>
            <w:tcW w:type="dxa" w:w="3672"/>
          </w:tcPr>
          <w:p>
            <w:r>
              <w:t>Plan, candidate action, tool payload, expected result.</w:t>
            </w:r>
          </w:p>
        </w:tc>
        <w:tc>
          <w:tcPr>
            <w:tcW w:type="dxa" w:w="2664"/>
          </w:tcPr>
          <w:p>
            <w:r>
              <w:t>Produces proposals; does not independently grant itself permissions.</w:t>
            </w:r>
          </w:p>
        </w:tc>
      </w:tr>
      <w:tr>
        <w:tc>
          <w:tcPr>
            <w:tcW w:type="dxa" w:w="1944"/>
          </w:tcPr>
          <w:p>
            <w:r>
              <w:t>Metacognitive Stream</w:t>
            </w:r>
          </w:p>
        </w:tc>
        <w:tc>
          <w:tcPr>
            <w:tcW w:type="dxa" w:w="2016"/>
          </w:tcPr>
          <w:p>
            <w:r>
              <w:t>Context updates, objective binding, task-state features and candidate action</w:t>
            </w:r>
          </w:p>
        </w:tc>
        <w:tc>
          <w:tcPr>
            <w:tcW w:type="dxa" w:w="3672"/>
          </w:tcPr>
          <w:p>
            <w:r>
              <w:t>Context-change assessment, validity status, uncertainty and monitoring signal.</w:t>
            </w:r>
          </w:p>
        </w:tc>
        <w:tc>
          <w:tcPr>
            <w:tcW w:type="dxa" w:w="2664"/>
          </w:tcPr>
          <w:p>
            <w:r>
              <w:t>A score is advisory until validated; high-impact decisions require hard gates.</w:t>
            </w:r>
          </w:p>
        </w:tc>
      </w:tr>
      <w:tr>
        <w:tc>
          <w:tcPr>
            <w:tcW w:type="dxa" w:w="1944"/>
          </w:tcPr>
          <w:p>
            <w:r>
              <w:t>Impact Evaluator</w:t>
            </w:r>
          </w:p>
        </w:tc>
        <w:tc>
          <w:tcPr>
            <w:tcW w:type="dxa" w:w="2016"/>
          </w:tcPr>
          <w:p>
            <w:r>
              <w:t>Candidate action, context and environment model</w:t>
            </w:r>
          </w:p>
        </w:tc>
        <w:tc>
          <w:tcPr>
            <w:tcW w:type="dxa" w:w="3672"/>
          </w:tcPr>
          <w:p>
            <w:r>
              <w:t>Predicted benefits, harms, affected parties and uncertainty.</w:t>
            </w:r>
          </w:p>
        </w:tc>
        <w:tc>
          <w:tcPr>
            <w:tcW w:type="dxa" w:w="2664"/>
          </w:tcPr>
          <w:p>
            <w:r>
              <w:t>Prediction is not proof; compare with observed outcomes.</w:t>
            </w:r>
          </w:p>
        </w:tc>
      </w:tr>
      <w:tr>
        <w:tc>
          <w:tcPr>
            <w:tcW w:type="dxa" w:w="1944"/>
          </w:tcPr>
          <w:p>
            <w:r>
              <w:t>Deterministic Policy Filter</w:t>
            </w:r>
          </w:p>
        </w:tc>
        <w:tc>
          <w:tcPr>
            <w:tcW w:type="dxa" w:w="2016"/>
          </w:tcPr>
          <w:p>
            <w:r>
              <w:t>Action schema, permissions, limits and invariants</w:t>
            </w:r>
          </w:p>
        </w:tc>
        <w:tc>
          <w:tcPr>
            <w:tcW w:type="dxa" w:w="3672"/>
          </w:tcPr>
          <w:p>
            <w:r>
              <w:t>Pass, reject or require escalation.</w:t>
            </w:r>
          </w:p>
        </w:tc>
        <w:tc>
          <w:tcPr>
            <w:tcW w:type="dxa" w:w="2664"/>
          </w:tcPr>
          <w:p>
            <w:r>
              <w:t>Must be outside editable model scratchpad.</w:t>
            </w:r>
          </w:p>
        </w:tc>
      </w:tr>
      <w:tr>
        <w:tc>
          <w:tcPr>
            <w:tcW w:type="dxa" w:w="1944"/>
          </w:tcPr>
          <w:p>
            <w:r>
              <w:t>Sandbox / Dry-run Executor</w:t>
            </w:r>
          </w:p>
        </w:tc>
        <w:tc>
          <w:tcPr>
            <w:tcW w:type="dxa" w:w="2016"/>
          </w:tcPr>
          <w:p>
            <w:r>
              <w:t>Candidate operation</w:t>
            </w:r>
          </w:p>
        </w:tc>
        <w:tc>
          <w:tcPr>
            <w:tcW w:type="dxa" w:w="3672"/>
          </w:tcPr>
          <w:p>
            <w:r>
              <w:t>Proposed diff, affected resources, validation results.</w:t>
            </w:r>
          </w:p>
        </w:tc>
        <w:tc>
          <w:tcPr>
            <w:tcW w:type="dxa" w:w="2664"/>
          </w:tcPr>
          <w:p>
            <w:r>
              <w:t>Only applicable where a meaningful simulation or dry run exists.</w:t>
            </w:r>
          </w:p>
        </w:tc>
      </w:tr>
      <w:tr>
        <w:tc>
          <w:tcPr>
            <w:tcW w:type="dxa" w:w="1944"/>
          </w:tcPr>
          <w:p>
            <w:r>
              <w:t>Action Governor</w:t>
            </w:r>
          </w:p>
        </w:tc>
        <w:tc>
          <w:tcPr>
            <w:tcW w:type="dxa" w:w="2016"/>
          </w:tcPr>
          <w:p>
            <w:r>
              <w:t>All checks and their confidence</w:t>
            </w:r>
          </w:p>
        </w:tc>
        <w:tc>
          <w:tcPr>
            <w:tcW w:type="dxa" w:w="3672"/>
          </w:tcPr>
          <w:p>
            <w:r>
              <w:t>Proceed, revise, suspend/clarify, stop, or escalate.</w:t>
            </w:r>
          </w:p>
        </w:tc>
        <w:tc>
          <w:tcPr>
            <w:tcW w:type="dxa" w:w="2664"/>
          </w:tcPr>
          <w:p>
            <w:r>
              <w:t>Fail closed for specified high-risk classes.</w:t>
            </w:r>
          </w:p>
        </w:tc>
      </w:tr>
      <w:tr>
        <w:tc>
          <w:tcPr>
            <w:tcW w:type="dxa" w:w="1944"/>
          </w:tcPr>
          <w:p>
            <w:r>
              <w:t>Experience and Audit Memory</w:t>
            </w:r>
          </w:p>
        </w:tc>
        <w:tc>
          <w:tcPr>
            <w:tcW w:type="dxa" w:w="2016"/>
          </w:tcPr>
          <w:p>
            <w:r>
              <w:t>Predictions, actions, observations, decisions</w:t>
            </w:r>
          </w:p>
        </w:tc>
        <w:tc>
          <w:tcPr>
            <w:tcW w:type="dxa" w:w="3672"/>
          </w:tcPr>
          <w:p>
            <w:r>
              <w:t>Append-only event record and retrospective error analysis.</w:t>
            </w:r>
          </w:p>
        </w:tc>
        <w:tc>
          <w:tcPr>
            <w:tcW w:type="dxa" w:w="2664"/>
          </w:tcPr>
          <w:p>
            <w:r>
              <w:t>Outcome records do not automatically fine-tune model weights.</w:t>
            </w:r>
          </w:p>
        </w:tc>
      </w:tr>
    </w:tbl>
    <w:p>
      <w:pPr>
        <w:pStyle w:val="Heading2"/>
      </w:pPr>
      <w:r>
        <w:t>4.2 Dual-path architecture: task stream and metacognitive stream</w:t>
      </w:r>
    </w:p>
    <w:p>
      <w:r>
        <w:t>The earlier phrase “dual-headed attention” is too ambiguous for an implementation specification. A conventional transformer attention head computes a representation; it does not independently possess a reliable semantic understanding of constitutional constraints or directly halt a runtime. MTA therefore uses the more general term dual-path architecture.</w:t>
      </w:r>
    </w:p>
    <w:p>
      <w:r>
        <w:t>Stream A — Task Stream: an autoregressive language model or agent produces plans, reasoning traces where available, and candidate tool actions. It may remain focused on the local objective during intermediate computation.</w:t>
      </w:r>
    </w:p>
    <w:p>
      <w:r>
        <w:t>Stream B — Metacognitive Stream: a separate process maintains an updated state derived from environment observations, the bound objective, relevant task-state features, and candidate actions. Research variants may use a small decoder, a state-space model (SSM), a discriminative critic, or a combination. These are alternatives to test, not interchangeable mechanisms assumed to work.</w:t>
      </w:r>
    </w:p>
    <w:p>
      <w:r>
        <w:t>At an action boundary, Stream B returns a structured assessment: objective-validity status, changed assumptions, newly affected parties, constraint conflicts, uncertainty, and a calibrated risk or consistency signal. The Action Governor consumes this assessment alongside deterministic checks. The architecture must specify what happens when Stream B is unavailable, uncertain, contradictory, or manipulated.</w:t>
      </w:r>
    </w:p>
    <w:p>
      <w:pPr>
        <w:pStyle w:val="Heading2"/>
      </w:pPr>
      <w:r>
        <w:t>4.3 Context-Consistency Margin</w:t>
      </w:r>
    </w:p>
    <w:p>
      <w:r>
        <w:t>A scalar monitoring signal may be useful for routing computation, but its name and meaning must be operationally defined. Let M_t denote a validated estimate of whether the candidate action remains consistent with the active objective’s validity conditions and applicable constraints at time t. If represented on [0, 1], larger values may mean greater estimated consistency. This convention must be fixed before experiments.</w:t>
      </w:r>
    </w:p>
    <w:p>
      <w:r>
        <w:t>M_t is not, by definition, a direct measure of ethical alignment or a geometric truth about the model. Its value must be calibrated against labelled scenarios and evaluated for false negatives, false positives, distribution shift, and adversarial inputs. A low score may trigger deeper review; a high score must not override deterministic prohibitions or required approvals.</w:t>
      </w:r>
    </w:p>
    <w:p>
      <w:r>
        <w:t>The earlier angular-deviation proposal, D_t = 1 − cosine_similarity(C_t, B_t), may be tested as one feature if suitable representations can be defined and independently validated. It should not be treated as an intrinsic correction signal until experiments show that it predicts context-inappropriate behaviour better than simpler baselines.</w:t>
      </w:r>
    </w:p>
    <w:p>
      <w:pPr>
        <w:pStyle w:val="Heading2"/>
      </w:pPr>
      <w:r>
        <w:t>4.4 Event-triggered monitoring</w:t>
      </w:r>
    </w:p>
    <w:p>
      <w:r>
        <w:t>Formal reassessment should occur at defined decision boundaries rather than after every generated token. The initial implementation should use observable events:</w:t>
      </w:r>
    </w:p>
    <w:p>
      <w:pPr>
        <w:pStyle w:val="ListBullet"/>
      </w:pPr>
      <w:r>
        <w:t>Before a tool call or external action is committed.</w:t>
      </w:r>
    </w:p>
    <w:p>
      <w:pPr>
        <w:pStyle w:val="ListBullet"/>
      </w:pPr>
      <w:r>
        <w:t>After an external observation, tool result, or environment state mutation.</w:t>
      </w:r>
    </w:p>
    <w:p>
      <w:pPr>
        <w:pStyle w:val="ListBullet"/>
      </w:pPr>
      <w:r>
        <w:t>When a goal precondition, validity condition, permission, or key assumption changes.</w:t>
      </w:r>
    </w:p>
    <w:p>
      <w:pPr>
        <w:pStyle w:val="ListBullet"/>
      </w:pPr>
      <w:r>
        <w:t>When a deterministic check or independent critic raises a flag.</w:t>
      </w:r>
    </w:p>
    <w:p>
      <w:pPr>
        <w:pStyle w:val="ListBullet"/>
      </w:pPr>
      <w:r>
        <w:t>At periodic checkpoints for long-running tasks, with frequency scaled to risk and action reversibility.</w:t>
      </w:r>
    </w:p>
    <w:p>
      <w:r>
        <w:t>Unexpected token-distribution entropy may be explored as an optional trigger, but it is not a dependable standalone detector of contextual misalignment: a model can be confidently wrong. Event thresholds and checkpoint frequency should be preregistered for experiments.</w:t>
      </w:r>
    </w:p>
    <w:p>
      <w:pPr>
        <w:pStyle w:val="Heading2"/>
      </w:pPr>
      <w:r>
        <w:t>4.5 Decision protocol</w:t>
      </w:r>
    </w:p>
    <w:tbl>
      <w:tblPr>
        <w:tblStyle w:val="LightShading-Accent1"/>
        <w:tblW w:type="auto" w:w="0"/>
        <w:tblLook w:firstColumn="1" w:firstRow="1" w:lastColumn="0" w:lastRow="0" w:noHBand="0" w:noVBand="1" w:val="04A0"/>
      </w:tblPr>
      <w:tblGrid>
        <w:gridCol w:w="3264"/>
        <w:gridCol w:w="3264"/>
        <w:gridCol w:w="3264"/>
      </w:tblGrid>
      <w:tr>
        <w:tc>
          <w:tcPr>
            <w:tcW w:type="dxa" w:w="1944"/>
          </w:tcPr>
          <w:p>
            <w:r>
              <w:rPr>
                <w:b/>
              </w:rPr>
              <w:t>Decision</w:t>
            </w:r>
          </w:p>
        </w:tc>
        <w:tc>
          <w:tcPr>
            <w:tcW w:type="dxa" w:w="3600"/>
          </w:tcPr>
          <w:p>
            <w:r>
              <w:rPr>
                <w:b/>
              </w:rPr>
              <w:t>Meaning</w:t>
            </w:r>
          </w:p>
        </w:tc>
        <w:tc>
          <w:tcPr>
            <w:tcW w:type="dxa" w:w="4680"/>
          </w:tcPr>
          <w:p>
            <w:r>
              <w:rPr>
                <w:b/>
              </w:rPr>
              <w:t>Required behaviour</w:t>
            </w:r>
          </w:p>
        </w:tc>
      </w:tr>
      <w:tr>
        <w:tc>
          <w:tcPr>
            <w:tcW w:type="dxa" w:w="1944"/>
          </w:tcPr>
          <w:p>
            <w:r>
              <w:t>PROCEED</w:t>
            </w:r>
          </w:p>
        </w:tc>
        <w:tc>
          <w:tcPr>
            <w:tcW w:type="dxa" w:w="3600"/>
          </w:tcPr>
          <w:p>
            <w:r>
              <w:t>The action is within permission, policy and contextual validity bounds.</w:t>
            </w:r>
          </w:p>
        </w:tc>
        <w:tc>
          <w:tcPr>
            <w:tcW w:type="dxa" w:w="4680"/>
          </w:tcPr>
          <w:p>
            <w:r>
              <w:t>Execute only the authorized payload; log the decision and checks.</w:t>
            </w:r>
          </w:p>
        </w:tc>
      </w:tr>
      <w:tr>
        <w:tc>
          <w:tcPr>
            <w:tcW w:type="dxa" w:w="1944"/>
          </w:tcPr>
          <w:p>
            <w:r>
              <w:t>REVISE</w:t>
            </w:r>
          </w:p>
        </w:tc>
        <w:tc>
          <w:tcPr>
            <w:tcW w:type="dxa" w:w="3600"/>
          </w:tcPr>
          <w:p>
            <w:r>
              <w:t>The objective remains valid, but the plan or action needs adjustment.</w:t>
            </w:r>
          </w:p>
        </w:tc>
        <w:tc>
          <w:tcPr>
            <w:tcW w:type="dxa" w:w="4680"/>
          </w:tcPr>
          <w:p>
            <w:r>
              <w:t>Return to planning with the specific conflict or missing condition.</w:t>
            </w:r>
          </w:p>
        </w:tc>
      </w:tr>
      <w:tr>
        <w:tc>
          <w:tcPr>
            <w:tcW w:type="dxa" w:w="1944"/>
          </w:tcPr>
          <w:p>
            <w:r>
              <w:t>SUSPEND / CLARIFY</w:t>
            </w:r>
          </w:p>
        </w:tc>
        <w:tc>
          <w:tcPr>
            <w:tcW w:type="dxa" w:w="3600"/>
          </w:tcPr>
          <w:p>
            <w:r>
              <w:t>Validity is uncertain or material information is missing.</w:t>
            </w:r>
          </w:p>
        </w:tc>
        <w:tc>
          <w:tcPr>
            <w:tcW w:type="dxa" w:w="4680"/>
          </w:tcPr>
          <w:p>
            <w:r>
              <w:t>Do not commit the consequential action; ask a question or gather evidence.</w:t>
            </w:r>
          </w:p>
        </w:tc>
      </w:tr>
      <w:tr>
        <w:tc>
          <w:tcPr>
            <w:tcW w:type="dxa" w:w="1944"/>
          </w:tcPr>
          <w:p>
            <w:r>
              <w:t>STOP</w:t>
            </w:r>
          </w:p>
        </w:tc>
        <w:tc>
          <w:tcPr>
            <w:tcW w:type="dxa" w:w="3600"/>
          </w:tcPr>
          <w:p>
            <w:r>
              <w:t>The objective is invalid, prohibited, or cannot be made acceptable.</w:t>
            </w:r>
          </w:p>
        </w:tc>
        <w:tc>
          <w:tcPr>
            <w:tcW w:type="dxa" w:w="4680"/>
          </w:tcPr>
          <w:p>
            <w:r>
              <w:t>Terminate that objective; do not continue optimizing it.</w:t>
            </w:r>
          </w:p>
        </w:tc>
      </w:tr>
      <w:tr>
        <w:tc>
          <w:tcPr>
            <w:tcW w:type="dxa" w:w="1944"/>
          </w:tcPr>
          <w:p>
            <w:r>
              <w:t>ESCALATE</w:t>
            </w:r>
          </w:p>
        </w:tc>
        <w:tc>
          <w:tcPr>
            <w:tcW w:type="dxa" w:w="3600"/>
          </w:tcPr>
          <w:p>
            <w:r>
              <w:t>Checks conflict, uncertainty remains above a threshold, or the reassessment budget is exhausted.</w:t>
            </w:r>
          </w:p>
        </w:tc>
        <w:tc>
          <w:tcPr>
            <w:tcW w:type="dxa" w:w="4680"/>
          </w:tcPr>
          <w:p>
            <w:r>
              <w:t>Hand off to an authorized reviewer; do not force execution.</w:t>
            </w:r>
          </w:p>
        </w:tc>
      </w:tr>
    </w:tbl>
    <w:p>
      <w:pPr>
        <w:pStyle w:val="Heading1"/>
      </w:pPr>
      <w:r>
        <w:t>5. Context and goal state</w:t>
      </w:r>
    </w:p>
    <w:p>
      <w:pPr>
        <w:pStyle w:val="Heading2"/>
      </w:pPr>
      <w:r>
        <w:t>5.1 Bound objective</w:t>
      </w:r>
    </w:p>
    <w:p>
      <w:r>
        <w:t>Represent the active objective as a structured record rather than a free-text goal alone:</w:t>
      </w:r>
    </w:p>
    <w:p>
      <w:pPr>
        <w:pStyle w:val="ListBullet"/>
      </w:pPr>
      <w:r>
        <w:t>G_t — operational objective and measurable success criteria.</w:t>
      </w:r>
    </w:p>
    <w:p>
      <w:pPr>
        <w:pStyle w:val="ListBullet"/>
      </w:pPr>
      <w:r>
        <w:t>I_t — explicit request and inferred intended outcome, with confidence and alternatives.</w:t>
      </w:r>
    </w:p>
    <w:p>
      <w:pPr>
        <w:pStyle w:val="ListBullet"/>
      </w:pPr>
      <w:r>
        <w:t>C_t — current context state, with provenance and uncertainty.</w:t>
      </w:r>
    </w:p>
    <w:p>
      <w:pPr>
        <w:pStyle w:val="ListBullet"/>
      </w:pPr>
      <w:r>
        <w:t>V_t — validity conditions and preconditions under which G_t remains appropriate.</w:t>
      </w:r>
    </w:p>
    <w:p>
      <w:pPr>
        <w:pStyle w:val="ListBullet"/>
      </w:pPr>
      <w:r>
        <w:t>E — applicable ethical, legal, safety, and system-level constraints, with authority and version.</w:t>
      </w:r>
    </w:p>
    <w:p>
      <w:pPr>
        <w:pStyle w:val="ListBullet"/>
      </w:pPr>
      <w:r>
        <w:t>A_t — candidate action or plan step.</w:t>
      </w:r>
    </w:p>
    <w:p>
      <w:pPr>
        <w:pStyle w:val="ListBullet"/>
      </w:pPr>
      <w:r>
        <w:t>S_t — suspension, revision, and termination conditions.</w:t>
      </w:r>
    </w:p>
    <w:p>
      <w:pPr>
        <w:pStyle w:val="ListBullet"/>
      </w:pPr>
      <w:r>
        <w:t>R_t — reversibility, impact, and required authorization level.</w:t>
      </w:r>
    </w:p>
    <w:p>
      <w:r>
        <w:t>The active objective is eligible for execution only if its validity conditions are satisfied to the required standard and no applicable hard constraint prohibits the action. The formal decision is not simply a numeric optimization over E, V_t, and G_t: hard constraints, uncertain predicates, and conflicting rules need explicit semantics.</w:t>
      </w:r>
    </w:p>
    <w:p>
      <w:pPr>
        <w:pStyle w:val="Heading2"/>
      </w:pPr>
      <w:r>
        <w:t>5.2 Context representation and memory</w:t>
      </w:r>
    </w:p>
    <w:p>
      <w:r>
        <w:t>A proposed context state is C_t = {W_t, P_t, A_t, R_t, U_t, Q_t}, where W_t represents relevant world/environment state; P_t, affected people or entities; A_t, assumptions and preconditions; R_t, rules and constraints; U_t, uncertainty and unresolved questions; and Q_t, provenance pointers to source observations and timestamps. These symbols are a design proposal and should be refined based on implementation needs.</w:t>
      </w:r>
    </w:p>
    <w:p>
      <w:r>
        <w:t>Use two linked tiers: (1) a compact active context representation for low-latency decisions and (2) a durable observation log from which the compact representation was derived. Content-addressed identifiers can help detect changes or tampering, but do not prove that the summary is complete or semantically correct. When uncertainty rises or an apparent contradiction appears, the system should retrieve relevant raw observations and rebuild the context state.</w:t>
      </w:r>
    </w:p>
    <w:p>
      <w:pPr>
        <w:pStyle w:val="Heading2"/>
      </w:pPr>
      <w:r>
        <w:t>5.3 Immutable constraints and authorized updates</w:t>
      </w:r>
    </w:p>
    <w:p>
      <w:r>
        <w:t>Policy constraints and validity conditions should be stored separately from editable task scratchpads, with access control, versioning, and audit logs. “Immutable” should mean that the task model cannot silently alter the active policy state—not that policy can never be revised. Authorized policy updates need explicit identity, approval, version transition, and traceability. The system may flag a policy as contradictory or unsuitable, but must not unilaterally rewrite it.</w:t>
      </w:r>
    </w:p>
    <w:p>
      <w:pPr>
        <w:pStyle w:val="Heading2"/>
      </w:pPr>
      <w:r>
        <w:t>5.4 Ethical priority ordering</w:t>
      </w:r>
    </w:p>
    <w:p>
      <w:r>
        <w:t>A provisional priority structure is: (1) binding safety, legal, and governance constraints; (2) task-specific validity conditions; (3) the operational objective. This is a normative proposal, not a complete ethical theory. Real cases may involve conflicting duties, uncertain law, contested values, or ambiguity about who has authority. The architecture must represent conflict and escalate it rather than hide it behind a single scalar score.</w:t>
      </w:r>
    </w:p>
    <w:p>
      <w:r>
        <w:t>The original paper’s human-as-end axiom can remain a candidate constitutional commitment for a specific research programme. It should be stated as an explicit normative premise and tested for operational clarity; it should not be presented as a discovered geometric property of hidden states.</w:t>
      </w:r>
    </w:p>
    <w:p>
      <w:pPr>
        <w:pStyle w:val="Heading1"/>
      </w:pPr>
      <w:r>
        <w:t>6. Runtime control and engineering safeguards</w:t>
      </w:r>
    </w:p>
    <w:p>
      <w:pPr>
        <w:pStyle w:val="Heading2"/>
      </w:pPr>
      <w:r>
        <w:t>6.1 Semantic–execution gap</w:t>
      </w:r>
    </w:p>
    <w:p>
      <w:r>
        <w:t>Natural-language descriptions do not adequately constrain low-level operations by themselves. For consequential tool calls, require a typed action schema containing the target, operation, scope, expected effect, affected resources, reversibility, and authorization. Where possible, derive an abstract intent/action graph and compare it with the actual executable payload. Use sandboxing, dry runs, staged rollout, transactions, backups, or human approval according to the tool and risk class.</w:t>
      </w:r>
    </w:p>
    <w:p>
      <w:r>
        <w:t>A dry run is evidence about the simulated operation, not a guarantee about every real-world effect. The system should report what was and was not simulated.</w:t>
      </w:r>
    </w:p>
    <w:p>
      <w:pPr>
        <w:pStyle w:val="Heading2"/>
      </w:pPr>
      <w:r>
        <w:t>6.2 Heterogeneous verification</w:t>
      </w:r>
    </w:p>
    <w:p>
      <w:r>
        <w:t>Use layered checks where practical: (1) deterministic schema, permission, and bounds validation; (2) an independently evaluated critic or anomaly detector; (3) deeper generative reassessment when a discrepancy is found. A critic should be evaluated on held-out and distribution-shifted cases. Independence should be measured, not assumed merely because a model is smaller or separately hosted.</w:t>
      </w:r>
    </w:p>
    <w:p>
      <w:pPr>
        <w:pStyle w:val="Heading2"/>
      </w:pPr>
      <w:r>
        <w:t>6.3 Hysteresis and bounded reassessment</w:t>
      </w:r>
    </w:p>
    <w:p>
      <w:r>
        <w:t>To avoid a churn/paralysis loop, distinguish minor context changes from changes that affect goal validity. Use action-risk-sensitive thresholds, hysteresis, and a bounded number of automatic reassessments. Exceeding the budget must cause suspension or escalation, not automatic approval. Track both missed interventions and unnecessary interruptions.</w:t>
      </w:r>
    </w:p>
    <w:p>
      <w:pPr>
        <w:pStyle w:val="Heading2"/>
      </w:pPr>
      <w:r>
        <w:t>6.4 Before, during, and after action</w:t>
      </w:r>
    </w:p>
    <w:p>
      <w:pPr>
        <w:pStyle w:val="ListNumber"/>
      </w:pPr>
      <w:r>
        <w:t>Before: validate objective, preconditions, constraints, permissions, likely effects, reversibility, and uncertainty.</w:t>
      </w:r>
    </w:p>
    <w:p>
      <w:pPr>
        <w:pStyle w:val="ListNumber"/>
      </w:pPr>
      <w:r>
        <w:t>During: monitor external observations and material state changes; interrupt only when a trigger or risk rule warrants it.</w:t>
      </w:r>
    </w:p>
    <w:p>
      <w:pPr>
        <w:pStyle w:val="ListNumber"/>
      </w:pPr>
      <w:r>
        <w:t>After: compare predicted with observed effects, record deviations, update context and confidence, and decide whether the remaining objective is still valid.</w:t>
      </w:r>
    </w:p>
    <w:p>
      <w:r>
        <w:t>Retrospective learning should first update explicit task state, evidence, and calibration records. Automatic model-weight updates from individual outcomes are out of scope for the initial prototype because they introduce additional risks and confound evaluation.</w:t>
      </w:r>
    </w:p>
    <w:p>
      <w:pPr>
        <w:pStyle w:val="Heading1"/>
      </w:pPr>
      <w:r>
        <w:t>7. Threat model and failure analysis</w:t>
      </w:r>
    </w:p>
    <w:tbl>
      <w:tblPr>
        <w:tblStyle w:val="LightShading-Accent1"/>
        <w:tblW w:type="auto" w:w="0"/>
        <w:tblLook w:firstColumn="1" w:firstRow="1" w:lastColumn="0" w:lastRow="0" w:noHBand="0" w:noVBand="1" w:val="04A0"/>
      </w:tblPr>
      <w:tblGrid>
        <w:gridCol w:w="3264"/>
        <w:gridCol w:w="3264"/>
        <w:gridCol w:w="3264"/>
      </w:tblGrid>
      <w:tr>
        <w:tc>
          <w:tcPr>
            <w:tcW w:type="dxa" w:w="2088"/>
          </w:tcPr>
          <w:p>
            <w:r>
              <w:rPr>
                <w:b/>
              </w:rPr>
              <w:t>Failure / attack</w:t>
            </w:r>
          </w:p>
        </w:tc>
        <w:tc>
          <w:tcPr>
            <w:tcW w:type="dxa" w:w="3240"/>
          </w:tcPr>
          <w:p>
            <w:r>
              <w:rPr>
                <w:b/>
              </w:rPr>
              <w:t>Why the proposed system may fail</w:t>
            </w:r>
          </w:p>
        </w:tc>
        <w:tc>
          <w:tcPr>
            <w:tcW w:type="dxa" w:w="4824"/>
          </w:tcPr>
          <w:p>
            <w:r>
              <w:rPr>
                <w:b/>
              </w:rPr>
              <w:t>Mitigation and residual risk</w:t>
            </w:r>
          </w:p>
        </w:tc>
      </w:tr>
      <w:tr>
        <w:tc>
          <w:tcPr>
            <w:tcW w:type="dxa" w:w="2088"/>
          </w:tcPr>
          <w:p>
            <w:r>
              <w:t>Context monitor shares blind spots</w:t>
            </w:r>
          </w:p>
        </w:tc>
        <w:tc>
          <w:tcPr>
            <w:tcW w:type="dxa" w:w="3240"/>
          </w:tcPr>
          <w:p>
            <w:r>
              <w:t>The task and monitor may make correlated errors.</w:t>
            </w:r>
          </w:p>
        </w:tc>
        <w:tc>
          <w:tcPr>
            <w:tcW w:type="dxa" w:w="4824"/>
          </w:tcPr>
          <w:p>
            <w:r>
              <w:t>Use deterministic constraints, evaluated independent critics, diverse evidence, and escalation. Correlation can remain.</w:t>
            </w:r>
          </w:p>
        </w:tc>
      </w:tr>
      <w:tr>
        <w:tc>
          <w:tcPr>
            <w:tcW w:type="dxa" w:w="2088"/>
          </w:tcPr>
          <w:p>
            <w:r>
              <w:t>Validity-condition gaming</w:t>
            </w:r>
          </w:p>
        </w:tc>
        <w:tc>
          <w:tcPr>
            <w:tcW w:type="dxa" w:w="3240"/>
          </w:tcPr>
          <w:p>
            <w:r>
              <w:t>The task model reframes or omits a condition in its own scratchpad.</w:t>
            </w:r>
          </w:p>
        </w:tc>
        <w:tc>
          <w:tcPr>
            <w:tcW w:type="dxa" w:w="4824"/>
          </w:tcPr>
          <w:p>
            <w:r>
              <w:t>Keep policy state outside editable scratchpad; use versioned authoritative state and explicit authorization for updates.</w:t>
            </w:r>
          </w:p>
        </w:tc>
      </w:tr>
      <w:tr>
        <w:tc>
          <w:tcPr>
            <w:tcW w:type="dxa" w:w="2088"/>
          </w:tcPr>
          <w:p>
            <w:r>
              <w:t>Lossy context compression</w:t>
            </w:r>
          </w:p>
        </w:tc>
        <w:tc>
          <w:tcPr>
            <w:tcW w:type="dxa" w:w="3240"/>
          </w:tcPr>
          <w:p>
            <w:r>
              <w:t>A fact discarded as irrelevant later becomes critical.</w:t>
            </w:r>
          </w:p>
        </w:tc>
        <w:tc>
          <w:tcPr>
            <w:tcW w:type="dxa" w:w="4824"/>
          </w:tcPr>
          <w:p>
            <w:r>
              <w:t>Maintain provenance-linked raw logs, uncertainty markers, contradiction checks, and retrieval on demand.</w:t>
            </w:r>
          </w:p>
        </w:tc>
      </w:tr>
      <w:tr>
        <w:tc>
          <w:tcPr>
            <w:tcW w:type="dxa" w:w="2088"/>
          </w:tcPr>
          <w:p>
            <w:r>
              <w:t>Confident monitor error</w:t>
            </w:r>
          </w:p>
        </w:tc>
        <w:tc>
          <w:tcPr>
            <w:tcW w:type="dxa" w:w="3240"/>
          </w:tcPr>
          <w:p>
            <w:r>
              <w:t>A high consistency score may accompany a bad decision.</w:t>
            </w:r>
          </w:p>
        </w:tc>
        <w:tc>
          <w:tcPr>
            <w:tcW w:type="dxa" w:w="4824"/>
          </w:tcPr>
          <w:p>
            <w:r>
              <w:t>Calibrate on held-out cases; never let a score override hard constraints; measure false negatives.</w:t>
            </w:r>
          </w:p>
        </w:tc>
      </w:tr>
      <w:tr>
        <w:tc>
          <w:tcPr>
            <w:tcW w:type="dxa" w:w="2088"/>
          </w:tcPr>
          <w:p>
            <w:r>
              <w:t>Over-triggering</w:t>
            </w:r>
          </w:p>
        </w:tc>
        <w:tc>
          <w:tcPr>
            <w:tcW w:type="dxa" w:w="3240"/>
          </w:tcPr>
          <w:p>
            <w:r>
              <w:t>Benign changes cause repeated interruptions.</w:t>
            </w:r>
          </w:p>
        </w:tc>
        <w:tc>
          <w:tcPr>
            <w:tcW w:type="dxa" w:w="4824"/>
          </w:tcPr>
          <w:p>
            <w:r>
              <w:t>Hysteresis, risk-based thresholds, reassessment budgets, and false-interruption metrics.</w:t>
            </w:r>
          </w:p>
        </w:tc>
      </w:tr>
      <w:tr>
        <w:tc>
          <w:tcPr>
            <w:tcW w:type="dxa" w:w="2088"/>
          </w:tcPr>
          <w:p>
            <w:r>
              <w:t>Semantic–execution mismatch</w:t>
            </w:r>
          </w:p>
        </w:tc>
        <w:tc>
          <w:tcPr>
            <w:tcW w:type="dxa" w:w="3240"/>
          </w:tcPr>
          <w:p>
            <w:r>
              <w:t>The payload does something different from the model’s description.</w:t>
            </w:r>
          </w:p>
        </w:tc>
        <w:tc>
          <w:tcPr>
            <w:tcW w:type="dxa" w:w="4824"/>
          </w:tcPr>
          <w:p>
            <w:r>
              <w:t>Typed action schemas, payload inspection, sandboxing, diff review, least privilege, and approvals.</w:t>
            </w:r>
          </w:p>
        </w:tc>
      </w:tr>
      <w:tr>
        <w:tc>
          <w:tcPr>
            <w:tcW w:type="dxa" w:w="2088"/>
          </w:tcPr>
          <w:p>
            <w:r>
              <w:t>Policy conflict or ambiguity</w:t>
            </w:r>
          </w:p>
        </w:tc>
        <w:tc>
          <w:tcPr>
            <w:tcW w:type="dxa" w:w="3240"/>
          </w:tcPr>
          <w:p>
            <w:r>
              <w:t>The hierarchy does not resolve competing obligations.</w:t>
            </w:r>
          </w:p>
        </w:tc>
        <w:tc>
          <w:tcPr>
            <w:tcW w:type="dxa" w:w="4824"/>
          </w:tcPr>
          <w:p>
            <w:r>
              <w:t>Represent conflicts explicitly and suspend/escalate; do not collapse every conflict into a single score.</w:t>
            </w:r>
          </w:p>
        </w:tc>
      </w:tr>
      <w:tr>
        <w:tc>
          <w:tcPr>
            <w:tcW w:type="dxa" w:w="2088"/>
          </w:tcPr>
          <w:p>
            <w:r>
              <w:t>Adversarial environment feedback</w:t>
            </w:r>
          </w:p>
        </w:tc>
        <w:tc>
          <w:tcPr>
            <w:tcW w:type="dxa" w:w="3240"/>
          </w:tcPr>
          <w:p>
            <w:r>
              <w:t>Observations may be incomplete, delayed, or manipulated.</w:t>
            </w:r>
          </w:p>
        </w:tc>
        <w:tc>
          <w:tcPr>
            <w:tcW w:type="dxa" w:w="4824"/>
          </w:tcPr>
          <w:p>
            <w:r>
              <w:t>Track provenance and confidence; corroborate high-impact observations; test adversarial scenarios.</w:t>
            </w:r>
          </w:p>
        </w:tc>
      </w:tr>
      <w:tr>
        <w:tc>
          <w:tcPr>
            <w:tcW w:type="dxa" w:w="2088"/>
          </w:tcPr>
          <w:p>
            <w:r>
              <w:t>Monitor unavailable or compromised</w:t>
            </w:r>
          </w:p>
        </w:tc>
        <w:tc>
          <w:tcPr>
            <w:tcW w:type="dxa" w:w="3240"/>
          </w:tcPr>
          <w:p>
            <w:r>
              <w:t>The safety pathway fails at runtime.</w:t>
            </w:r>
          </w:p>
        </w:tc>
        <w:tc>
          <w:tcPr>
            <w:tcW w:type="dxa" w:w="4824"/>
          </w:tcPr>
          <w:p>
            <w:r>
              <w:t>Define fail-safe behaviour per action class; high-impact actions should fail closed or require independent authorization.</w:t>
            </w:r>
          </w:p>
        </w:tc>
      </w:tr>
      <w:tr>
        <w:tc>
          <w:tcPr>
            <w:tcW w:type="dxa" w:w="2088"/>
          </w:tcPr>
          <w:p>
            <w:r>
              <w:t>Institutional capture</w:t>
            </w:r>
          </w:p>
        </w:tc>
        <w:tc>
          <w:tcPr>
            <w:tcW w:type="dxa" w:w="3240"/>
          </w:tcPr>
          <w:p>
            <w:r>
              <w:t>An authorized operator may change constraints to serve narrow interests.</w:t>
            </w:r>
          </w:p>
        </w:tc>
        <w:tc>
          <w:tcPr>
            <w:tcW w:type="dxa" w:w="4824"/>
          </w:tcPr>
          <w:p>
            <w:r>
              <w:t>Separate roles, log policy changes, require multi-party governance for high-impact changes, and preserve auditability. No architecture eliminates governance risk.</w:t>
            </w:r>
          </w:p>
        </w:tc>
      </w:tr>
    </w:tbl>
    <w:p>
      <w:pPr>
        <w:pStyle w:val="Heading1"/>
      </w:pPr>
      <w:r>
        <w:t>8. Formal decision sketch</w:t>
      </w:r>
    </w:p>
    <w:p>
      <w:r>
        <w:t>The following is a conceptual control flow, not a proof of safety:</w:t>
      </w:r>
    </w:p>
    <w:p>
      <w:pPr>
        <w:pStyle w:val="ListNumber"/>
      </w:pPr>
      <w:r>
        <w:t>Receive request or environment event; update versioned observations and context.</w:t>
      </w:r>
    </w:p>
    <w:p>
      <w:pPr>
        <w:pStyle w:val="ListNumber"/>
      </w:pPr>
      <w:r>
        <w:t>Interpret the request and bind the objective to purpose, validity conditions, constraints, success criteria, and suspension conditions.</w:t>
      </w:r>
    </w:p>
    <w:p>
      <w:pPr>
        <w:pStyle w:val="ListNumber"/>
      </w:pPr>
      <w:r>
        <w:t>Generate a candidate plan and action in the Task Stream.</w:t>
      </w:r>
    </w:p>
    <w:p>
      <w:pPr>
        <w:pStyle w:val="ListNumber"/>
      </w:pPr>
      <w:r>
        <w:t>At a decision boundary, run deterministic permission/schema checks and obtain the metacognitive assessment.</w:t>
      </w:r>
    </w:p>
    <w:p>
      <w:pPr>
        <w:pStyle w:val="ListNumber"/>
      </w:pPr>
      <w:r>
        <w:t>If a required hard constraint fails, reject or stop. If objective validity is uncertain, retrieve evidence, reassess within budget, then clarify or escalate if unresolved.</w:t>
      </w:r>
    </w:p>
    <w:p>
      <w:pPr>
        <w:pStyle w:val="ListNumber"/>
      </w:pPr>
      <w:r>
        <w:t>If the objective remains valid but the action is unsuitable, revise the plan. If all required checks pass, authorize only the bounded action payload.</w:t>
      </w:r>
    </w:p>
    <w:p>
      <w:pPr>
        <w:pStyle w:val="ListNumber"/>
      </w:pPr>
      <w:r>
        <w:t>Observe the outcome, compare predicted and actual effects, update context and audit memory, and reassess the continuing objective.</w:t>
      </w:r>
    </w:p>
    <w:p>
      <w:r>
        <w:t>For a first prototype, implement this flow in ordinary Python around an unchanged language model. This isolates whether explicit binding and event-triggered gating improve behaviour before adding the cost and confounds of transformer-level modifications.</w:t>
      </w:r>
    </w:p>
    <w:p>
      <w:pPr>
        <w:pStyle w:val="Heading1"/>
      </w:pPr>
      <w:r>
        <w:t>9. Empirical programme</w:t>
      </w:r>
    </w:p>
    <w:p>
      <w:pPr>
        <w:pStyle w:val="Heading2"/>
      </w:pPr>
      <w:r>
        <w:t>9.1 Primary research question</w:t>
      </w:r>
    </w:p>
    <w:p>
      <w:r>
        <w:t>Under sustained task-focused processing, do models become less sensitive to context changes that invalidate or materially alter an objective, and does an explicit context-monitoring controller reduce inappropriate continuation without causing excessive false interruption?</w:t>
      </w:r>
    </w:p>
    <w:p>
      <w:pPr>
        <w:pStyle w:val="Heading2"/>
      </w:pPr>
      <w:r>
        <w:t>9.2 Preregistered hypotheses</w:t>
      </w:r>
    </w:p>
    <w:p>
      <w:pPr>
        <w:pStyle w:val="ListBullet"/>
      </w:pPr>
      <w:r>
        <w:t>H1 — Absorption effect: in a controlled task, the rate of inappropriate continuation will be higher after sustained task-focused processing than in a matched low-absorption control, particularly when the environment changes the objective’s validity.</w:t>
      </w:r>
    </w:p>
    <w:p>
      <w:pPr>
        <w:pStyle w:val="ListBullet"/>
      </w:pPr>
      <w:r>
        <w:t>H2 — Recall–application dissociation: some trials will show correct constraint recall alongside a constraint-violating action; this outcome will be measured separately from simple recall failure.</w:t>
      </w:r>
    </w:p>
    <w:p>
      <w:pPr>
        <w:pStyle w:val="ListBullet"/>
      </w:pPr>
      <w:r>
        <w:t>H3 — Controller benefit: the MTA-style controller will reduce inappropriate continuation relative to the same base model without the controller.</w:t>
      </w:r>
    </w:p>
    <w:p>
      <w:pPr>
        <w:pStyle w:val="ListBullet"/>
      </w:pPr>
      <w:r>
        <w:t>H4 — Specificity: the controller will not substantially increase unnecessary interruption when context changes are irrelevant or when the original objective remains valid.</w:t>
      </w:r>
    </w:p>
    <w:p>
      <w:pPr>
        <w:pStyle w:val="ListBullet"/>
      </w:pPr>
      <w:r>
        <w:t>H5 — Independent-monitor benefit: a heterogeneous critic or deterministic check may add value beyond same-model reflection; the size and reliability of that increment are empirical questions.</w:t>
      </w:r>
    </w:p>
    <w:p>
      <w:pPr>
        <w:pStyle w:val="Heading2"/>
      </w:pPr>
      <w:r>
        <w:t>9.3 Experimental conditions</w:t>
      </w:r>
    </w:p>
    <w:tbl>
      <w:tblPr>
        <w:tblStyle w:val="LightShading-Accent1"/>
        <w:tblW w:type="auto" w:w="0"/>
        <w:tblLook w:firstColumn="1" w:firstRow="1" w:lastColumn="0" w:lastRow="0" w:noHBand="0" w:noVBand="1" w:val="04A0"/>
      </w:tblPr>
      <w:tblGrid>
        <w:gridCol w:w="3264"/>
        <w:gridCol w:w="3264"/>
        <w:gridCol w:w="3264"/>
      </w:tblGrid>
      <w:tr>
        <w:tc>
          <w:tcPr>
            <w:tcW w:type="dxa" w:w="2376"/>
          </w:tcPr>
          <w:p>
            <w:r>
              <w:rPr>
                <w:b/>
              </w:rPr>
              <w:t>Condition</w:t>
            </w:r>
          </w:p>
        </w:tc>
        <w:tc>
          <w:tcPr>
            <w:tcW w:type="dxa" w:w="4464"/>
          </w:tcPr>
          <w:p>
            <w:r>
              <w:rPr>
                <w:b/>
              </w:rPr>
              <w:t>Description</w:t>
            </w:r>
          </w:p>
        </w:tc>
        <w:tc>
          <w:tcPr>
            <w:tcW w:type="dxa" w:w="3168"/>
          </w:tcPr>
          <w:p>
            <w:r>
              <w:rPr>
                <w:b/>
              </w:rPr>
              <w:t>Purpose</w:t>
            </w:r>
          </w:p>
        </w:tc>
      </w:tr>
      <w:tr>
        <w:tc>
          <w:tcPr>
            <w:tcW w:type="dxa" w:w="2376"/>
          </w:tcPr>
          <w:p>
            <w:r>
              <w:t>Baseline</w:t>
            </w:r>
          </w:p>
        </w:tc>
        <w:tc>
          <w:tcPr>
            <w:tcW w:type="dxa" w:w="4464"/>
          </w:tcPr>
          <w:p>
            <w:r>
              <w:t>Base model receives task and context, without explicit goal–context binding or monitoring.</w:t>
            </w:r>
          </w:p>
        </w:tc>
        <w:tc>
          <w:tcPr>
            <w:tcW w:type="dxa" w:w="3168"/>
          </w:tcPr>
          <w:p>
            <w:r>
              <w:t>Measure ordinary performance.</w:t>
            </w:r>
          </w:p>
        </w:tc>
      </w:tr>
      <w:tr>
        <w:tc>
          <w:tcPr>
            <w:tcW w:type="dxa" w:w="2376"/>
          </w:tcPr>
          <w:p>
            <w:r>
              <w:t>Reflection only</w:t>
            </w:r>
          </w:p>
        </w:tc>
        <w:tc>
          <w:tcPr>
            <w:tcW w:type="dxa" w:w="4464"/>
          </w:tcPr>
          <w:p>
            <w:r>
              <w:t>Base model is prompted to reassess intent, context, and objective at fixed decision points.</w:t>
            </w:r>
          </w:p>
        </w:tc>
        <w:tc>
          <w:tcPr>
            <w:tcW w:type="dxa" w:w="3168"/>
          </w:tcPr>
          <w:p>
            <w:r>
              <w:t>Estimate Stage 1 contribution.</w:t>
            </w:r>
          </w:p>
        </w:tc>
      </w:tr>
      <w:tr>
        <w:tc>
          <w:tcPr>
            <w:tcW w:type="dxa" w:w="2376"/>
          </w:tcPr>
          <w:p>
            <w:r>
              <w:t>External MTA controller</w:t>
            </w:r>
          </w:p>
        </w:tc>
        <w:tc>
          <w:tcPr>
            <w:tcW w:type="dxa" w:w="4464"/>
          </w:tcPr>
          <w:p>
            <w:r>
              <w:t>Same base model plus structured objective binding, event-triggered monitor, and action governor.</w:t>
            </w:r>
          </w:p>
        </w:tc>
        <w:tc>
          <w:tcPr>
            <w:tcW w:type="dxa" w:w="3168"/>
          </w:tcPr>
          <w:p>
            <w:r>
              <w:t>Test practical Stage 2 approximation.</w:t>
            </w:r>
          </w:p>
        </w:tc>
      </w:tr>
      <w:tr>
        <w:tc>
          <w:tcPr>
            <w:tcW w:type="dxa" w:w="2376"/>
          </w:tcPr>
          <w:p>
            <w:r>
              <w:t>Context reminder control</w:t>
            </w:r>
          </w:p>
        </w:tc>
        <w:tc>
          <w:tcPr>
            <w:tcW w:type="dxa" w:w="4464"/>
          </w:tcPr>
          <w:p>
            <w:r>
              <w:t>Relevant context is repeated at matched points, without validity-condition logic.</w:t>
            </w:r>
          </w:p>
        </w:tc>
        <w:tc>
          <w:tcPr>
            <w:tcW w:type="dxa" w:w="3168"/>
          </w:tcPr>
          <w:p>
            <w:r>
              <w:t>Separate monitoring from mere repetition.</w:t>
            </w:r>
          </w:p>
        </w:tc>
      </w:tr>
      <w:tr>
        <w:tc>
          <w:tcPr>
            <w:tcW w:type="dxa" w:w="2376"/>
          </w:tcPr>
          <w:p>
            <w:r>
              <w:t>Stable-context control</w:t>
            </w:r>
          </w:p>
        </w:tc>
        <w:tc>
          <w:tcPr>
            <w:tcW w:type="dxa" w:w="4464"/>
          </w:tcPr>
          <w:p>
            <w:r>
              <w:t>Task proceeds while context changes do not invalidate the goal.</w:t>
            </w:r>
          </w:p>
        </w:tc>
        <w:tc>
          <w:tcPr>
            <w:tcW w:type="dxa" w:w="3168"/>
          </w:tcPr>
          <w:p>
            <w:r>
              <w:t>Measure unnecessary interruption.</w:t>
            </w:r>
          </w:p>
        </w:tc>
      </w:tr>
      <w:tr>
        <w:tc>
          <w:tcPr>
            <w:tcW w:type="dxa" w:w="2376"/>
          </w:tcPr>
          <w:p>
            <w:r>
              <w:t>Invalidating-context condition</w:t>
            </w:r>
          </w:p>
        </w:tc>
        <w:tc>
          <w:tcPr>
            <w:tcW w:type="dxa" w:w="4464"/>
          </w:tcPr>
          <w:p>
            <w:r>
              <w:t>A material new fact makes the objective unsafe or no longer appropriate.</w:t>
            </w:r>
          </w:p>
        </w:tc>
        <w:tc>
          <w:tcPr>
            <w:tcW w:type="dxa" w:w="3168"/>
          </w:tcPr>
          <w:p>
            <w:r>
              <w:t>Measure failure to revise/suspend/stop.</w:t>
            </w:r>
          </w:p>
        </w:tc>
      </w:tr>
      <w:tr>
        <w:tc>
          <w:tcPr>
            <w:tcW w:type="dxa" w:w="2376"/>
          </w:tcPr>
          <w:p>
            <w:r>
              <w:t>Non-invalidating-change condition</w:t>
            </w:r>
          </w:p>
        </w:tc>
        <w:tc>
          <w:tcPr>
            <w:tcW w:type="dxa" w:w="4464"/>
          </w:tcPr>
          <w:p>
            <w:r>
              <w:t>New information is salient but does not alter goal validity.</w:t>
            </w:r>
          </w:p>
        </w:tc>
        <w:tc>
          <w:tcPr>
            <w:tcW w:type="dxa" w:w="3168"/>
          </w:tcPr>
          <w:p>
            <w:r>
              <w:t>Test overreaction.</w:t>
            </w:r>
          </w:p>
        </w:tc>
      </w:tr>
      <w:tr>
        <w:tc>
          <w:tcPr>
            <w:tcW w:type="dxa" w:w="2376"/>
          </w:tcPr>
          <w:p>
            <w:r>
              <w:t>Monitor ablation</w:t>
            </w:r>
          </w:p>
        </w:tc>
        <w:tc>
          <w:tcPr>
            <w:tcW w:type="dxa" w:w="4464"/>
          </w:tcPr>
          <w:p>
            <w:r>
              <w:t>Remove one controller component at a time.</w:t>
            </w:r>
          </w:p>
        </w:tc>
        <w:tc>
          <w:tcPr>
            <w:tcW w:type="dxa" w:w="3168"/>
          </w:tcPr>
          <w:p>
            <w:r>
              <w:t>Identify which component accounts for any benefit.</w:t>
            </w:r>
          </w:p>
        </w:tc>
      </w:tr>
    </w:tbl>
    <w:p>
      <w:pPr>
        <w:pStyle w:val="Heading2"/>
      </w:pPr>
      <w:r>
        <w:t>9.4 Scenario design</w:t>
      </w:r>
    </w:p>
    <w:p>
      <w:r>
        <w:t>Use paired scenarios with the same initial request and comparable task difficulty. Vary whether a later event changes a validity condition, is irrelevant, or adds uncertainty requiring clarification. Include benign accumulation tasks, consequential tool-use tasks in a simulated environment, ambiguous-intent tasks, and adversarial attempts to reframe constraints. Use held-out scenarios and avoid changing prompts or scoring rules after inspecting outcomes.</w:t>
      </w:r>
    </w:p>
    <w:p>
      <w:r>
        <w:t>A database or hospital-cost scenario can be useful for an illustrative pilot, but a single domain is not enough to support a general claim. The evaluation set should include multiple domains and both reversible and irreversible action classes. Real-world actions should not be used in early tests.</w:t>
      </w:r>
    </w:p>
    <w:p>
      <w:pPr>
        <w:pStyle w:val="Heading2"/>
      </w:pPr>
      <w:r>
        <w:t>9.5 Measures</w:t>
      </w:r>
    </w:p>
    <w:p>
      <w:pPr>
        <w:pStyle w:val="ListBullet"/>
      </w:pPr>
      <w:r>
        <w:t>Inappropriate continuation rate: proportion of invalidating-context trials where the system proceeds with the original objective or an impermissible action.</w:t>
      </w:r>
    </w:p>
    <w:p>
      <w:pPr>
        <w:pStyle w:val="ListBullet"/>
      </w:pPr>
      <w:r>
        <w:t>Appropriate revision/suspension rate: proportion of invalidating-context trials where the system adapts, suspends, stops, or seeks needed clarification.</w:t>
      </w:r>
    </w:p>
    <w:p>
      <w:pPr>
        <w:pStyle w:val="ListBullet"/>
      </w:pPr>
      <w:r>
        <w:t>False interruption rate: proportion of stable or non-invalidating trials where the system unnecessarily suspends or rejects the objective.</w:t>
      </w:r>
    </w:p>
    <w:p>
      <w:pPr>
        <w:pStyle w:val="ListBullet"/>
      </w:pPr>
      <w:r>
        <w:t>Constraint recall: ability to accurately state relevant constraints when directly asked.</w:t>
      </w:r>
    </w:p>
    <w:p>
      <w:pPr>
        <w:pStyle w:val="ListBullet"/>
      </w:pPr>
      <w:r>
        <w:t>Recall–application dissociation: constraint recall is correct while the selected action violates the constraint.</w:t>
      </w:r>
    </w:p>
    <w:p>
      <w:pPr>
        <w:pStyle w:val="ListBullet"/>
      </w:pPr>
      <w:r>
        <w:t>Calibration: relationship between monitor confidence and actual correctness; include false-negative and false-positive rates.</w:t>
      </w:r>
    </w:p>
    <w:p>
      <w:pPr>
        <w:pStyle w:val="ListBullet"/>
      </w:pPr>
      <w:r>
        <w:t>Latency and cost: tokens, tool calls, wall-clock time, and added controller overhead.</w:t>
      </w:r>
    </w:p>
    <w:p>
      <w:pPr>
        <w:pStyle w:val="ListBullet"/>
      </w:pPr>
      <w:r>
        <w:t>Robustness: performance under paraphrase, ordering changes, longer task histories, conflicting evidence, and adversarial framing.</w:t>
      </w:r>
    </w:p>
    <w:p>
      <w:pPr>
        <w:pStyle w:val="Heading2"/>
      </w:pPr>
      <w:r>
        <w:t>9.6 Logging and analysis</w:t>
      </w:r>
    </w:p>
    <w:p>
      <w:r>
        <w:t>Log every trial to CSV or JSONL with a stable trial ID, condition, scenario ID, model/version, trial number, full prompt/messages, full response, candidate action, monitor output, gate decision, tool simulation result, timestamp, and scoring metadata. Keep raw logs separate from derived scores. Blind human raters to condition where feasible, use a written rubric, and report inter-rater agreement.</w:t>
      </w:r>
    </w:p>
    <w:p>
      <w:r>
        <w:t>Freeze scenarios, rubric, exclusion criteria, and analysis plan before the confirmatory run. Use pilot results only to debug infrastructure and estimate variance; do not use them to tune the held-out confirmatory set. Report null results and regressions, not only favourable examples.</w:t>
      </w:r>
    </w:p>
    <w:p>
      <w:pPr>
        <w:pStyle w:val="Heading2"/>
      </w:pPr>
      <w:r>
        <w:t>9.7 Interpretation discipline</w:t>
      </w:r>
    </w:p>
    <w:p>
      <w:r>
        <w:t>A prompt/API experiment can establish behavioural differences under tested conditions. It cannot, by itself, establish that a hidden context representation was displaced, that attention caused the effect, or that a proposed latent geometry is meaningful. Claims about mechanism require additional interventions, representation analyses, ablations, and replication. An external controller’s success would support the utility of that controller, not prove the dual-stream transformer hypothesis.</w:t>
      </w:r>
    </w:p>
    <w:p>
      <w:pPr>
        <w:pStyle w:val="Heading1"/>
      </w:pPr>
      <w:r>
        <w:t>10. Implementation roadmap</w:t>
      </w:r>
    </w:p>
    <w:tbl>
      <w:tblPr>
        <w:tblStyle w:val="LightShading-Accent1"/>
        <w:tblW w:type="auto" w:w="0"/>
        <w:tblLook w:firstColumn="1" w:firstRow="1" w:lastColumn="0" w:lastRow="0" w:noHBand="0" w:noVBand="1" w:val="04A0"/>
      </w:tblPr>
      <w:tblGrid>
        <w:gridCol w:w="3264"/>
        <w:gridCol w:w="3264"/>
        <w:gridCol w:w="3264"/>
      </w:tblGrid>
      <w:tr>
        <w:tc>
          <w:tcPr>
            <w:tcW w:type="dxa" w:w="2232"/>
          </w:tcPr>
          <w:p>
            <w:r>
              <w:rPr>
                <w:b/>
              </w:rPr>
              <w:t>Phase</w:t>
            </w:r>
          </w:p>
        </w:tc>
        <w:tc>
          <w:tcPr>
            <w:tcW w:type="dxa" w:w="4752"/>
          </w:tcPr>
          <w:p>
            <w:r>
              <w:rPr>
                <w:b/>
              </w:rPr>
              <w:t>Deliverable</w:t>
            </w:r>
          </w:p>
        </w:tc>
        <w:tc>
          <w:tcPr>
            <w:tcW w:type="dxa" w:w="3024"/>
          </w:tcPr>
          <w:p>
            <w:r>
              <w:rPr>
                <w:b/>
              </w:rPr>
              <w:t>Exit criterion</w:t>
            </w:r>
          </w:p>
        </w:tc>
      </w:tr>
      <w:tr>
        <w:tc>
          <w:tcPr>
            <w:tcW w:type="dxa" w:w="2232"/>
          </w:tcPr>
          <w:p>
            <w:r>
              <w:t>A. Specification</w:t>
            </w:r>
          </w:p>
        </w:tc>
        <w:tc>
          <w:tcPr>
            <w:tcW w:type="dxa" w:w="4752"/>
          </w:tcPr>
          <w:p>
            <w:r>
              <w:t>Freeze terminology, data schema, risk classes, decision protocol, hypotheses and rubric.</w:t>
            </w:r>
          </w:p>
        </w:tc>
        <w:tc>
          <w:tcPr>
            <w:tcW w:type="dxa" w:w="3024"/>
          </w:tcPr>
          <w:p>
            <w:r>
              <w:t>Ambiguities and safety behaviours documented before coding.</w:t>
            </w:r>
          </w:p>
        </w:tc>
      </w:tr>
      <w:tr>
        <w:tc>
          <w:tcPr>
            <w:tcW w:type="dxa" w:w="2232"/>
          </w:tcPr>
          <w:p>
            <w:r>
              <w:t>B. External prototype</w:t>
            </w:r>
          </w:p>
        </w:tc>
        <w:tc>
          <w:tcPr>
            <w:tcW w:type="dxa" w:w="4752"/>
          </w:tcPr>
          <w:p>
            <w:r>
              <w:t>Reproducible Python/Colab controller around an API model or local model; CSV logs; simulated tools.</w:t>
            </w:r>
          </w:p>
        </w:tc>
        <w:tc>
          <w:tcPr>
            <w:tcW w:type="dxa" w:w="3024"/>
          </w:tcPr>
          <w:p>
            <w:r>
              <w:t>End-to-end runs work and logs can reproduce every decision.</w:t>
            </w:r>
          </w:p>
        </w:tc>
      </w:tr>
      <w:tr>
        <w:tc>
          <w:tcPr>
            <w:tcW w:type="dxa" w:w="2232"/>
          </w:tcPr>
          <w:p>
            <w:r>
              <w:t>C. Pilot</w:t>
            </w:r>
          </w:p>
        </w:tc>
        <w:tc>
          <w:tcPr>
            <w:tcW w:type="dxa" w:w="4752"/>
          </w:tcPr>
          <w:p>
            <w:r>
              <w:t>Small set of paired scenarios used only to validate pipeline and identify measurement defects.</w:t>
            </w:r>
          </w:p>
        </w:tc>
        <w:tc>
          <w:tcPr>
            <w:tcW w:type="dxa" w:w="3024"/>
          </w:tcPr>
          <w:p>
            <w:r>
              <w:t>No unresolved logging/scoring bugs; confirmatory set remains untouched.</w:t>
            </w:r>
          </w:p>
        </w:tc>
      </w:tr>
      <w:tr>
        <w:tc>
          <w:tcPr>
            <w:tcW w:type="dxa" w:w="2232"/>
          </w:tcPr>
          <w:p>
            <w:r>
              <w:t>D. Confirmatory behavioural study</w:t>
            </w:r>
          </w:p>
        </w:tc>
        <w:tc>
          <w:tcPr>
            <w:tcW w:type="dxa" w:w="4752"/>
          </w:tcPr>
          <w:p>
            <w:r>
              <w:t>Frozen baseline and controller comparisons across held-out scenarios.</w:t>
            </w:r>
          </w:p>
        </w:tc>
        <w:tc>
          <w:tcPr>
            <w:tcW w:type="dxa" w:w="3024"/>
          </w:tcPr>
          <w:p>
            <w:r>
              <w:t>Report effect sizes, uncertainty, false interruption, cost, and null results.</w:t>
            </w:r>
          </w:p>
        </w:tc>
      </w:tr>
      <w:tr>
        <w:tc>
          <w:tcPr>
            <w:tcW w:type="dxa" w:w="2232"/>
          </w:tcPr>
          <w:p>
            <w:r>
              <w:t>E. Open-weight integration</w:t>
            </w:r>
          </w:p>
        </w:tc>
        <w:tc>
          <w:tcPr>
            <w:tcW w:type="dxa" w:w="4752"/>
          </w:tcPr>
          <w:p>
            <w:r>
              <w:t>Run controller with a locally or remotely hosted open-weight model.</w:t>
            </w:r>
          </w:p>
        </w:tc>
        <w:tc>
          <w:tcPr>
            <w:tcW w:type="dxa" w:w="3024"/>
          </w:tcPr>
          <w:p>
            <w:r>
              <w:t>Reproducible comparison and resource profile.</w:t>
            </w:r>
          </w:p>
        </w:tc>
      </w:tr>
      <w:tr>
        <w:tc>
          <w:tcPr>
            <w:tcW w:type="dxa" w:w="2232"/>
          </w:tcPr>
          <w:p>
            <w:r>
              <w:t>F. Metacognitive-stream research</w:t>
            </w:r>
          </w:p>
        </w:tc>
        <w:tc>
          <w:tcPr>
            <w:tcW w:type="dxa" w:w="4752"/>
          </w:tcPr>
          <w:p>
            <w:r>
              <w:t>Train or evaluate an independent monitor; compare classifier, critic, SSM and rule-based variants.</w:t>
            </w:r>
          </w:p>
        </w:tc>
        <w:tc>
          <w:tcPr>
            <w:tcW w:type="dxa" w:w="3024"/>
          </w:tcPr>
          <w:p>
            <w:r>
              <w:t>Demonstrated incremental benefit over simple baselines.</w:t>
            </w:r>
          </w:p>
        </w:tc>
      </w:tr>
      <w:tr>
        <w:tc>
          <w:tcPr>
            <w:tcW w:type="dxa" w:w="2232"/>
          </w:tcPr>
          <w:p>
            <w:r>
              <w:t>G. Transformer-level investigation</w:t>
            </w:r>
          </w:p>
        </w:tc>
        <w:tc>
          <w:tcPr>
            <w:tcW w:type="dxa" w:w="4752"/>
          </w:tcPr>
          <w:p>
            <w:r>
              <w:t>Only if warranted: inspect hidden states, test candidate deviation measures, integrate auxiliary pathway.</w:t>
            </w:r>
          </w:p>
        </w:tc>
        <w:tc>
          <w:tcPr>
            <w:tcW w:type="dxa" w:w="3024"/>
          </w:tcPr>
          <w:p>
            <w:r>
              <w:t>Ablation and generalization evidence supports the mechanism, not merely benchmark gains.</w:t>
            </w:r>
          </w:p>
        </w:tc>
      </w:tr>
    </w:tbl>
    <w:p>
      <w:r>
        <w:t>The first practical build should not modify transformer internals. An external controller provides a low-cost way to test the behavioural premise. If it fails, the study can reveal whether the cause is poor scenario design, weak monitoring, incorrect assumptions about absorption drift, or the need for a different mechanism. If it succeeds, it gives a measurable baseline for architectural research.</w:t>
      </w:r>
    </w:p>
    <w:p>
      <w:pPr>
        <w:pStyle w:val="Heading1"/>
      </w:pPr>
      <w:r>
        <w:t>11. Open problems and limits</w:t>
      </w:r>
    </w:p>
    <w:p>
      <w:pPr>
        <w:pStyle w:val="ListBullet"/>
      </w:pPr>
      <w:r>
        <w:t>Operational definition: identify when a context change truly invalidates a goal without relying entirely on subjective annotation.</w:t>
      </w:r>
    </w:p>
    <w:p>
      <w:pPr>
        <w:pStyle w:val="ListBullet"/>
      </w:pPr>
      <w:r>
        <w:t>Monitor quality: determine whether a separate pathway can generalize beyond the scenarios on which it is trained or calibrated.</w:t>
      </w:r>
    </w:p>
    <w:p>
      <w:pPr>
        <w:pStyle w:val="ListBullet"/>
      </w:pPr>
      <w:r>
        <w:t>Representation: establish whether a latent consistency margin adds value beyond symbolic checks and ordinary classifiers.</w:t>
      </w:r>
    </w:p>
    <w:p>
      <w:pPr>
        <w:pStyle w:val="ListBullet"/>
      </w:pPr>
      <w:r>
        <w:t>Ethical pluralism: specify how conflicting constraints, jurisdiction, uncertainty, and authorized policy updates are handled.</w:t>
      </w:r>
    </w:p>
    <w:p>
      <w:pPr>
        <w:pStyle w:val="ListBullet"/>
      </w:pPr>
      <w:r>
        <w:t>Distribution shift: evaluate performance when new tools, domains, users, or adversarial environments alter the task.</w:t>
      </w:r>
    </w:p>
    <w:p>
      <w:pPr>
        <w:pStyle w:val="ListBullet"/>
      </w:pPr>
      <w:r>
        <w:t>Correlated failure: test whether different models and deterministic systems actually fail independently.</w:t>
      </w:r>
    </w:p>
    <w:p>
      <w:pPr>
        <w:pStyle w:val="ListBullet"/>
      </w:pPr>
      <w:r>
        <w:t>Computational cost: quantify whether event-triggered monitoring provides a useful safety–latency trade-off.</w:t>
      </w:r>
    </w:p>
    <w:p>
      <w:pPr>
        <w:pStyle w:val="ListBullet"/>
      </w:pPr>
      <w:r>
        <w:t>Oversight: design governance that reduces institutional capture without pretending any technical mechanism removes political or organizational risk.</w:t>
      </w:r>
    </w:p>
    <w:p>
      <w:pPr>
        <w:pStyle w:val="Heading1"/>
      </w:pPr>
      <w:r>
        <w:t>12. Claims policy</w:t>
      </w:r>
    </w:p>
    <w:p>
      <w:r>
        <w:t>The following language should be used in future versions unless and until stronger evidence is available:</w:t>
      </w:r>
    </w:p>
    <w:tbl>
      <w:tblPr>
        <w:tblStyle w:val="LightShading-Accent1"/>
        <w:tblW w:type="auto" w:w="0"/>
        <w:tblLook w:firstColumn="1" w:firstRow="1" w:lastColumn="0" w:lastRow="0" w:noHBand="0" w:noVBand="1" w:val="04A0"/>
      </w:tblPr>
      <w:tblGrid>
        <w:gridCol w:w="4896"/>
        <w:gridCol w:w="4896"/>
      </w:tblGrid>
      <w:tr>
        <w:tc>
          <w:tcPr>
            <w:tcW w:type="dxa" w:w="4536"/>
          </w:tcPr>
          <w:p>
            <w:r>
              <w:rPr>
                <w:b/>
              </w:rPr>
              <w:t>Avoid presenting as established</w:t>
            </w:r>
          </w:p>
        </w:tc>
        <w:tc>
          <w:tcPr>
            <w:tcW w:type="dxa" w:w="5472"/>
          </w:tcPr>
          <w:p>
            <w:r>
              <w:rPr>
                <w:b/>
              </w:rPr>
              <w:t>Prefer</w:t>
            </w:r>
          </w:p>
        </w:tc>
      </w:tr>
      <w:tr>
        <w:tc>
          <w:tcPr>
            <w:tcW w:type="dxa" w:w="4536"/>
          </w:tcPr>
          <w:p>
            <w:r>
              <w:t>“Absorption is the fundamental alignment failure mode.”</w:t>
            </w:r>
          </w:p>
        </w:tc>
        <w:tc>
          <w:tcPr>
            <w:tcW w:type="dxa" w:w="5472"/>
          </w:tcPr>
          <w:p>
            <w:r>
              <w:t>“Absorption drift is a hypothesised failure mode that may be important under sustained task execution.”</w:t>
            </w:r>
          </w:p>
        </w:tc>
      </w:tr>
      <w:tr>
        <w:tc>
          <w:tcPr>
            <w:tcW w:type="dxa" w:w="4536"/>
          </w:tcPr>
          <w:p>
            <w:r>
              <w:t>“The meta-head detects constitutional blindness geometrically.”</w:t>
            </w:r>
          </w:p>
        </w:tc>
        <w:tc>
          <w:tcPr>
            <w:tcW w:type="dxa" w:w="5472"/>
          </w:tcPr>
          <w:p>
            <w:r>
              <w:t>“A context-monitoring pathway may estimate decision-relevant divergence; candidate signals require validation.”</w:t>
            </w:r>
          </w:p>
        </w:tc>
      </w:tr>
      <w:tr>
        <w:tc>
          <w:tcPr>
            <w:tcW w:type="dxa" w:w="4536"/>
          </w:tcPr>
          <w:p>
            <w:r>
              <w:t>“The correction signal is intrinsic.”</w:t>
            </w:r>
          </w:p>
        </w:tc>
        <w:tc>
          <w:tcPr>
            <w:tcW w:type="dxa" w:w="5472"/>
          </w:tcPr>
          <w:p>
            <w:r>
              <w:t>“The architecture proposes a runtime monitoring and intervention signal.”</w:t>
            </w:r>
          </w:p>
        </w:tc>
      </w:tr>
      <w:tr>
        <w:tc>
          <w:tcPr>
            <w:tcW w:type="dxa" w:w="4536"/>
          </w:tcPr>
          <w:p>
            <w:r>
              <w:t>“Human oversight cannot work.”</w:t>
            </w:r>
          </w:p>
        </w:tc>
        <w:tc>
          <w:tcPr>
            <w:tcW w:type="dxa" w:w="5472"/>
          </w:tcPr>
          <w:p>
            <w:r>
              <w:t>“Human oversight is fallible and can be affected by absorption, incentives and institutional capture; it should not be the sole safeguard.”</w:t>
            </w:r>
          </w:p>
        </w:tc>
      </w:tr>
      <w:tr>
        <w:tc>
          <w:tcPr>
            <w:tcW w:type="dxa" w:w="4536"/>
          </w:tcPr>
          <w:p>
            <w:r>
              <w:t>“The system is mathematically barred from violating the constitution.”</w:t>
            </w:r>
          </w:p>
        </w:tc>
        <w:tc>
          <w:tcPr>
            <w:tcW w:type="dxa" w:w="5472"/>
          </w:tcPr>
          <w:p>
            <w:r>
              <w:t>“A runtime governor can enforce specified machine-checkable constraints within its authority and threat model.”</w:t>
            </w:r>
          </w:p>
        </w:tc>
      </w:tr>
      <w:tr>
        <w:tc>
          <w:tcPr>
            <w:tcW w:type="dxa" w:w="4536"/>
          </w:tcPr>
          <w:p>
            <w:r>
              <w:t>“MTA formalizes an empirically established cognitive architecture.”</w:t>
            </w:r>
          </w:p>
        </w:tc>
        <w:tc>
          <w:tcPr>
            <w:tcW w:type="dxa" w:w="5472"/>
          </w:tcPr>
          <w:p>
            <w:r>
              <w:t>“MTA draws analogies from cognition; whether the proposed engineering design works is an empirical question.”</w:t>
            </w:r>
          </w:p>
        </w:tc>
      </w:tr>
    </w:tbl>
    <w:p>
      <w:pPr>
        <w:pStyle w:val="Heading1"/>
      </w:pPr>
      <w:r>
        <w:t>13. Conclusion</w:t>
      </w:r>
    </w:p>
    <w:p>
      <w:r>
        <w:t>MTA is best understood at this stage as a research programme investigating whether context-persistent monitoring can reduce inappropriate continuation during sustained task execution. The three-stage framework separates reflective interpretation of objectives, architectural maintenance of contextual sensitivity, and governance of autonomous action. This separation prevents a deliberative prompt, a monitoring pathway, and an ethical policy regime from being treated as interchangeable.</w:t>
      </w:r>
    </w:p>
    <w:p>
      <w:r>
        <w:t>The next decisive step is not to assert that the proposed architecture solves alignment. It is to operationalize absorption drift, preregister a fair test, compare a base model with reflective and controller-based conditions, and measure both missed interventions and unnecessary interruptions. Only after the behavioural premise survives controlled testing should work proceed to a trained metacognitive stream or transformer-level integration.</w:t>
      </w:r>
    </w:p>
    <w:p>
      <w:pPr>
        <w:pStyle w:val="Heading1"/>
      </w:pPr>
      <w:r>
        <w:t>Appendix A — Compact terminology</w:t>
      </w:r>
    </w:p>
    <w:tbl>
      <w:tblPr>
        <w:tblStyle w:val="LightShading-Accent1"/>
        <w:tblW w:type="auto" w:w="0"/>
        <w:tblLook w:firstColumn="1" w:firstRow="1" w:lastColumn="0" w:lastRow="0" w:noHBand="0" w:noVBand="1" w:val="04A0"/>
      </w:tblPr>
      <w:tblGrid>
        <w:gridCol w:w="4896"/>
        <w:gridCol w:w="4896"/>
      </w:tblGrid>
      <w:tr>
        <w:tc>
          <w:tcPr>
            <w:tcW w:type="dxa" w:w="2952"/>
          </w:tcPr>
          <w:p>
            <w:r>
              <w:rPr>
                <w:b/>
              </w:rPr>
              <w:t>Term</w:t>
            </w:r>
          </w:p>
        </w:tc>
        <w:tc>
          <w:tcPr>
            <w:tcW w:type="dxa" w:w="7056"/>
          </w:tcPr>
          <w:p>
            <w:r>
              <w:rPr>
                <w:b/>
              </w:rPr>
              <w:t>Working definition</w:t>
            </w:r>
          </w:p>
        </w:tc>
      </w:tr>
      <w:tr>
        <w:tc>
          <w:tcPr>
            <w:tcW w:type="dxa" w:w="2952"/>
          </w:tcPr>
          <w:p>
            <w:r>
              <w:t>Absorption drift</w:t>
            </w:r>
          </w:p>
        </w:tc>
        <w:tc>
          <w:tcPr>
            <w:tcW w:type="dxa" w:w="7056"/>
          </w:tcPr>
          <w:p>
            <w:r>
              <w:t>Hypothesised reduction in behavioural sensitivity to the contextual conditions governing an ongoing objective during sustained task-focused processing.</w:t>
            </w:r>
          </w:p>
        </w:tc>
      </w:tr>
      <w:tr>
        <w:tc>
          <w:tcPr>
            <w:tcW w:type="dxa" w:w="2952"/>
          </w:tcPr>
          <w:p>
            <w:r>
              <w:t>Intent–Context–Objective alignment</w:t>
            </w:r>
          </w:p>
        </w:tc>
        <w:tc>
          <w:tcPr>
            <w:tcW w:type="dxa" w:w="7056"/>
          </w:tcPr>
          <w:p>
            <w:r>
              <w:t>The fit between the intended outcome, relevant circumstances, and operational goal.</w:t>
            </w:r>
          </w:p>
        </w:tc>
      </w:tr>
      <w:tr>
        <w:tc>
          <w:tcPr>
            <w:tcW w:type="dxa" w:w="2952"/>
          </w:tcPr>
          <w:p>
            <w:r>
              <w:t>Goal–Context Binding</w:t>
            </w:r>
          </w:p>
        </w:tc>
        <w:tc>
          <w:tcPr>
            <w:tcW w:type="dxa" w:w="7056"/>
          </w:tcPr>
          <w:p>
            <w:r>
              <w:t>Structured representation linking a goal to its purpose, preconditions, constraints, validity conditions and suspension rules.</w:t>
            </w:r>
          </w:p>
        </w:tc>
      </w:tr>
      <w:tr>
        <w:tc>
          <w:tcPr>
            <w:tcW w:type="dxa" w:w="2952"/>
          </w:tcPr>
          <w:p>
            <w:r>
              <w:t>Task Stream</w:t>
            </w:r>
          </w:p>
        </w:tc>
        <w:tc>
          <w:tcPr>
            <w:tcW w:type="dxa" w:w="7056"/>
          </w:tcPr>
          <w:p>
            <w:r>
              <w:t>The model pathway that plans and proposes actions.</w:t>
            </w:r>
          </w:p>
        </w:tc>
      </w:tr>
      <w:tr>
        <w:tc>
          <w:tcPr>
            <w:tcW w:type="dxa" w:w="2952"/>
          </w:tcPr>
          <w:p>
            <w:r>
              <w:t>Metacognitive Stream</w:t>
            </w:r>
          </w:p>
        </w:tc>
        <w:tc>
          <w:tcPr>
            <w:tcW w:type="dxa" w:w="7056"/>
          </w:tcPr>
          <w:p>
            <w:r>
              <w:t>A separate process that tracks context evolution and evaluates whether the objective remains valid.</w:t>
            </w:r>
          </w:p>
        </w:tc>
      </w:tr>
      <w:tr>
        <w:tc>
          <w:tcPr>
            <w:tcW w:type="dxa" w:w="2952"/>
          </w:tcPr>
          <w:p>
            <w:r>
              <w:t>Context-Consistency Margin</w:t>
            </w:r>
          </w:p>
        </w:tc>
        <w:tc>
          <w:tcPr>
            <w:tcW w:type="dxa" w:w="7056"/>
          </w:tcPr>
          <w:p>
            <w:r>
              <w:t>A proposed, empirically calibrated signal about consistency between a candidate action and active validity conditions; not a guarantee of safety.</w:t>
            </w:r>
          </w:p>
        </w:tc>
      </w:tr>
      <w:tr>
        <w:tc>
          <w:tcPr>
            <w:tcW w:type="dxa" w:w="2952"/>
          </w:tcPr>
          <w:p>
            <w:r>
              <w:t>Action Governor</w:t>
            </w:r>
          </w:p>
        </w:tc>
        <w:tc>
          <w:tcPr>
            <w:tcW w:type="dxa" w:w="7056"/>
          </w:tcPr>
          <w:p>
            <w:r>
              <w:t>Runtime component that authorizes, revises, suspends, stops, or escalates a candidate action.</w:t>
            </w:r>
          </w:p>
        </w:tc>
      </w:tr>
      <w:tr>
        <w:tc>
          <w:tcPr>
            <w:tcW w:type="dxa" w:w="2952"/>
          </w:tcPr>
          <w:p>
            <w:r>
              <w:t>Recall–application dissociation</w:t>
            </w:r>
          </w:p>
        </w:tc>
        <w:tc>
          <w:tcPr>
            <w:tcW w:type="dxa" w:w="7056"/>
          </w:tcPr>
          <w:p>
            <w:r>
              <w:t>Correct recall of a constraint alongside a decision that fails to apply it.</w:t>
            </w:r>
          </w:p>
        </w:tc>
      </w:tr>
      <w:tr>
        <w:tc>
          <w:tcPr>
            <w:tcW w:type="dxa" w:w="2952"/>
          </w:tcPr>
          <w:p>
            <w:r>
              <w:t>Stage 1</w:t>
            </w:r>
          </w:p>
        </w:tc>
        <w:tc>
          <w:tcPr>
            <w:tcW w:type="dxa" w:w="7056"/>
          </w:tcPr>
          <w:p>
            <w:r>
              <w:t>Reflective Intent–Context–Objective Alignment.</w:t>
            </w:r>
          </w:p>
        </w:tc>
      </w:tr>
      <w:tr>
        <w:tc>
          <w:tcPr>
            <w:tcW w:type="dxa" w:w="2952"/>
          </w:tcPr>
          <w:p>
            <w:r>
              <w:t>Stage 2</w:t>
            </w:r>
          </w:p>
        </w:tc>
        <w:tc>
          <w:tcPr>
            <w:tcW w:type="dxa" w:w="7056"/>
          </w:tcPr>
          <w:p>
            <w:r>
              <w:t>Metacognitive Transformer Architecture (MTA), focused on absorption drift and context-persistent alignment.</w:t>
            </w:r>
          </w:p>
        </w:tc>
      </w:tr>
      <w:tr>
        <w:tc>
          <w:tcPr>
            <w:tcW w:type="dxa" w:w="2952"/>
          </w:tcPr>
          <w:p>
            <w:r>
              <w:t>Stage 3</w:t>
            </w:r>
          </w:p>
        </w:tc>
        <w:tc>
          <w:tcPr>
            <w:tcW w:type="dxa" w:w="7056"/>
          </w:tcPr>
          <w:p>
            <w:r>
              <w:t>Ethical Autonomy and Governance for Superintelligence.</w:t>
            </w:r>
          </w:p>
        </w:tc>
      </w:tr>
    </w:tbl>
    <w:p>
      <w:pPr>
        <w:pStyle w:val="Heading1"/>
      </w:pPr>
      <w:r>
        <w:t>Appendix B — Running assumptions and weaknesses</w:t>
      </w:r>
    </w:p>
    <w:p>
      <w:pPr>
        <w:pStyle w:val="ListBullet"/>
      </w:pPr>
      <w:r>
        <w:t>The central phenomenon is not yet empirically established and may be explained by known mechanisms such as instruction conflict, retrieval limitations, or planning error.</w:t>
      </w:r>
    </w:p>
    <w:p>
      <w:pPr>
        <w:pStyle w:val="ListBullet"/>
      </w:pPr>
      <w:r>
        <w:t>The proposed context-monitoring signal may not generalize and could be gamed or miscalibrated.</w:t>
      </w:r>
    </w:p>
    <w:p>
      <w:pPr>
        <w:pStyle w:val="ListBullet"/>
      </w:pPr>
      <w:r>
        <w:t>A second model or stream may share failure modes with the task model; architectural separation is not the same as epistemic independence.</w:t>
      </w:r>
    </w:p>
    <w:p>
      <w:pPr>
        <w:pStyle w:val="ListBullet"/>
      </w:pPr>
      <w:r>
        <w:t>The normative priority structure is incomplete and requires explicit governance for conflicts and policy revision.</w:t>
      </w:r>
    </w:p>
    <w:p>
      <w:pPr>
        <w:pStyle w:val="ListBullet"/>
      </w:pPr>
      <w:r>
        <w:t>Dry-run results do not guarantee real-world outcomes; sandbox coverage is domain-dependent.</w:t>
      </w:r>
    </w:p>
    <w:p>
      <w:pPr>
        <w:pStyle w:val="ListBullet"/>
      </w:pPr>
      <w:r>
        <w:t>The external controller can validate behavioural utility but cannot prove the proposed transformer-level mechanism.</w:t>
      </w:r>
    </w:p>
    <w:p>
      <w:pPr>
        <w:pStyle w:val="ListBullet"/>
      </w:pPr>
      <w:r>
        <w:t>The initial experimental design must be refined against relevant literature before making novelty claims.</w:t>
      </w:r>
    </w:p>
    <w:p>
      <w:pPr>
        <w:pStyle w:val="Heading1"/>
      </w:pPr>
      <w:r>
        <w:t>Immediate next actions</w:t>
      </w:r>
    </w:p>
    <w:p>
      <w:pPr>
        <w:pStyle w:val="ListNumber"/>
      </w:pPr>
      <w:r>
        <w:t>Conduct a focused related-work review and build a claim-to-source matrix before submission or novelty claims.</w:t>
      </w:r>
    </w:p>
    <w:p>
      <w:pPr>
        <w:pStyle w:val="ListNumber"/>
      </w:pPr>
      <w:r>
        <w:t>Freeze the operational definition of absorption drift and distinguish it from context-window loss, instruction conflict, goal misgeneralization, and ordinary reasoning errors.</w:t>
      </w:r>
    </w:p>
    <w:p>
      <w:pPr>
        <w:pStyle w:val="ListNumber"/>
      </w:pPr>
      <w:r>
        <w:t>Write the scenario bank, rubric, exclusions, and statistical analysis plan before the confirmatory run.</w:t>
      </w:r>
    </w:p>
    <w:p>
      <w:pPr>
        <w:pStyle w:val="ListNumber"/>
      </w:pPr>
      <w:r>
        <w:t>Implement the external controller with simulated tools and full trial logging.</w:t>
      </w:r>
    </w:p>
    <w:p>
      <w:pPr>
        <w:pStyle w:val="ListNumber"/>
      </w:pPr>
      <w:r>
        <w:t>Run a pipeline-only pilot, then freeze the confirmatory set and execute the planned comparison.</w:t>
      </w:r>
    </w:p>
    <w:p>
      <w:r>
        <w:br w:type="page"/>
      </w:r>
    </w:p>
    <w:p>
      <w:pPr>
        <w:pStyle w:val="Heading1"/>
      </w:pPr>
      <w:r>
        <w:t>14. Related work and positioning (initial focused review)</w:t>
      </w:r>
    </w:p>
    <w:p>
      <w:r>
        <w:t>Review status: targeted, non-systematic literature scan conducted 9 October 2026. This is a preliminary claim-to-source review, not a systematic review and not evidence that all relevant literature has been found. The references below are used to sharpen the research question and constrain novelty claims. Source summaries are paraphrases of the cited publications; interpretive implications for MTA are identified separately.</w:t>
      </w:r>
    </w:p>
    <w:p>
      <w:pPr>
        <w:pStyle w:val="Heading2"/>
      </w:pPr>
      <w:r>
        <w:t>14.1 Goal drift in long-horizon language-model agents</w:t>
      </w:r>
    </w:p>
    <w:p>
      <w:r>
        <w:t>Arike et al. (2025) directly study goal drift in language-model agents exposed to competing environmental pressures over extended trajectories. They report drift in evaluated agents and a relationship between longer context and susceptibility to pattern-matching behaviour. This is the closest direct precedent for the broad claim that agent behaviour may diverge from a stated goal during long-horizon execution. MTA therefore must not claim to be the first framework to identify or measure long-horizon goal drift.</w:t>
      </w:r>
    </w:p>
    <w:p>
      <w:r>
        <w:t>Menon et al. (2026), in Inherited Goal Drift, extend this line to newer models and show that apparently robust agents can inherit drift when conditioned on trajectories from weaker agents. They report substantial model- and environment-dependence and find that instruction-hierarchy adherence does not reliably predict drift resistance. This cautions against treating strong instruction following as evidence of robust contextual alignment.</w:t>
      </w:r>
    </w:p>
    <w:p>
      <w:r>
        <w:t>Difference to investigate: existing goal-drift work primarily operationalizes deviation from a specified objective. MTA’s narrower proposed question is whether the *validity of the objective itself* changes with context, and whether a separate monitor detects that change before an action is taken. This distinction is plausible but must be tested against the full methods and related literature before being claimed as novel.</w:t>
      </w:r>
    </w:p>
    <w:p>
      <w:pPr>
        <w:pStyle w:val="Heading2"/>
      </w:pPr>
      <w:r>
        <w:t>14.2 Context management and meta-level oversight</w:t>
      </w:r>
    </w:p>
    <w:p>
      <w:r>
        <w:t>COMPASS (Wan et al., 2025/2026) separates a main agent, a meta-thinker that monitors progress and intervenes, and a context manager that organizes evolving context for long-horizon tasks. This is a close architectural neighbour to the proposed task stream plus metacognitive/context pathway. Consequently, MTA cannot claim novelty for the general idea of separating task execution from meta-level oversight or context management.</w:t>
      </w:r>
    </w:p>
    <w:p>
      <w:r>
        <w:t>The potentially distinctive MTA emphasis is not merely that another component summarizes context or monitors progress. It is a formally represented, versioned binding between an objective and the conditions that make it appropriate, plus an evaluation protocol measuring whether the system notices when those conditions cease to hold. This is a candidate contribution, not yet a verified novelty claim.</w:t>
      </w:r>
    </w:p>
    <w:p>
      <w:pPr>
        <w:pStyle w:val="Heading2"/>
      </w:pPr>
      <w:r>
        <w:t>14.3 Reflection and self-correction</w:t>
      </w:r>
    </w:p>
    <w:p>
      <w:r>
        <w:t>Kamoi et al. (2024) critically survey LLM self-correction and conclude that prompted self-feedback does not reliably improve general tasks; gains are more credible when reliable external feedback is available or models are trained for correction. Liu et al. (2026) introduce ReflecTool-Bench and report that models are better at identifying errors in others’ tool-use dialogues than correcting their own errors in self-reflection settings. These findings support the methodological decision to compare reflection-only systems with external checks and action gating, rather than assuming that a reflection prompt is a reliable safety mechanism.</w:t>
      </w:r>
    </w:p>
    <w:p>
      <w:r>
        <w:t>Implication: Stage 1 should be tested as its own condition. Stage 2 should not be described as superior until it outperforms a strong reflection baseline and a simple context-reminder baseline under matched compute and information conditions.</w:t>
      </w:r>
    </w:p>
    <w:p>
      <w:pPr>
        <w:pStyle w:val="Heading2"/>
      </w:pPr>
      <w:r>
        <w:t>14.4 Instruction hierarchy and runtime control</w:t>
      </w:r>
    </w:p>
    <w:p>
      <w:r>
        <w:t>Wallace et al. (2024) study training models to prioritize privileged instructions and report improved robustness to certain instruction attacks in their experiments. Geng et al. (2026) evaluate instruction hierarchy across six state-of-the-art models and report inconsistent constraint prioritization, including failures under simple conflicts. Together, these works indicate that instruction hierarchy is a relevant but incomplete control mechanism.</w:t>
      </w:r>
    </w:p>
    <w:p>
      <w:r>
        <w:t>MTA’s proposed immutable policy register and Action Governor should be framed as runtime enforcement and auditability mechanisms, not as proof that the model has internalized the policy. They also do not solve incorrect policy specification, conflicts between policies, or governance capture.</w:t>
      </w:r>
    </w:p>
    <w:p>
      <w:pPr>
        <w:pStyle w:val="Heading2"/>
      </w:pPr>
      <w:r>
        <w:t>14.5 Goal misgeneralization</w:t>
      </w:r>
    </w:p>
    <w:p>
      <w:r>
        <w:t>Shah et al. (2022) describe goal misgeneralization: a learned system can competently pursue an unintended goal even when the provided specification is correct, because learned behaviour generalizes in an undesired way to new situations. This is conceptually related but not identical to absorption drift. Goal misgeneralization concerns what goal the learned system pursues under distribution shift; absorption drift, as proposed here, concerns a hypothesized loss of behavioural sensitivity to contextual validity conditions during sustained execution. Experiments should distinguish these mechanisms rather than use the terms interchangeably.</w:t>
      </w:r>
    </w:p>
    <w:p>
      <w:pPr>
        <w:pStyle w:val="Heading2"/>
      </w:pPr>
      <w:r>
        <w:t>14.6 Preliminary claim-to-source matrix</w:t>
      </w:r>
    </w:p>
    <w:tbl>
      <w:tblPr>
        <w:tblStyle w:val="LightShading-Accent1"/>
        <w:tblW w:type="auto" w:w="0"/>
        <w:tblLook w:firstColumn="1" w:firstRow="1" w:lastColumn="0" w:lastRow="0" w:noHBand="0" w:noVBand="1" w:val="04A0"/>
      </w:tblPr>
      <w:tblGrid>
        <w:gridCol w:w="3264"/>
        <w:gridCol w:w="3264"/>
        <w:gridCol w:w="3264"/>
      </w:tblGrid>
      <w:tr>
        <w:tc>
          <w:tcPr>
            <w:tcW w:type="dxa" w:w="3264"/>
          </w:tcPr>
          <w:p>
            <w:r>
              <w:rPr>
                <w:b/>
              </w:rPr>
              <w:t>MTA claim or design element</w:t>
            </w:r>
          </w:p>
        </w:tc>
        <w:tc>
          <w:tcPr>
            <w:tcW w:type="dxa" w:w="3264"/>
          </w:tcPr>
          <w:p>
            <w:r>
              <w:rPr>
                <w:b/>
              </w:rPr>
              <w:t>Relevant prior work</w:t>
            </w:r>
          </w:p>
        </w:tc>
        <w:tc>
          <w:tcPr>
            <w:tcW w:type="dxa" w:w="3264"/>
          </w:tcPr>
          <w:p>
            <w:r>
              <w:rPr>
                <w:b/>
              </w:rPr>
              <w:t>Assessment and required change</w:t>
            </w:r>
          </w:p>
        </w:tc>
      </w:tr>
      <w:tr>
        <w:tc>
          <w:tcPr>
            <w:tcW w:type="dxa" w:w="3264"/>
          </w:tcPr>
          <w:p>
            <w:r>
              <w:t>Long-horizon agents can deviate from assigned goals.</w:t>
            </w:r>
          </w:p>
        </w:tc>
        <w:tc>
          <w:tcPr>
            <w:tcW w:type="dxa" w:w="3264"/>
          </w:tcPr>
          <w:p>
            <w:r>
              <w:t>Arike et al. (2025); Menon et al. (2026).</w:t>
            </w:r>
          </w:p>
        </w:tc>
        <w:tc>
          <w:tcPr>
            <w:tcW w:type="dxa" w:w="3264"/>
          </w:tcPr>
          <w:p>
            <w:r>
              <w:t>Already directly studied. Treat as background, not a novel MTA claim.</w:t>
            </w:r>
          </w:p>
        </w:tc>
      </w:tr>
      <w:tr>
        <w:tc>
          <w:tcPr>
            <w:tcW w:type="dxa" w:w="3264"/>
          </w:tcPr>
          <w:p>
            <w:r>
              <w:t>Context length and accumulated trajectories can influence agent behaviour.</w:t>
            </w:r>
          </w:p>
        </w:tc>
        <w:tc>
          <w:tcPr>
            <w:tcW w:type="dxa" w:w="3264"/>
          </w:tcPr>
          <w:p>
            <w:r>
              <w:t>Arike et al. (2025); Menon et al. (2026); COMPASS.</w:t>
            </w:r>
          </w:p>
        </w:tc>
        <w:tc>
          <w:tcPr>
            <w:tcW w:type="dxa" w:w="3264"/>
          </w:tcPr>
          <w:p>
            <w:r>
              <w:t>Supported as a research concern, but causal mechanisms and generality vary. Design controls for context length, trajectory content, and model family.</w:t>
            </w:r>
          </w:p>
        </w:tc>
      </w:tr>
      <w:tr>
        <w:tc>
          <w:tcPr>
            <w:tcW w:type="dxa" w:w="3264"/>
          </w:tcPr>
          <w:p>
            <w:r>
              <w:t>Separate task execution from meta-level monitoring/context management.</w:t>
            </w:r>
          </w:p>
        </w:tc>
        <w:tc>
          <w:tcPr>
            <w:tcW w:type="dxa" w:w="3264"/>
          </w:tcPr>
          <w:p>
            <w:r>
              <w:t>COMPASS (Wan et al., 2025/2026).</w:t>
            </w:r>
          </w:p>
        </w:tc>
        <w:tc>
          <w:tcPr>
            <w:tcW w:type="dxa" w:w="3264"/>
          </w:tcPr>
          <w:p>
            <w:r>
              <w:t>Close architectural precedent. Do not claim the general pattern is novel.</w:t>
            </w:r>
          </w:p>
        </w:tc>
      </w:tr>
      <w:tr>
        <w:tc>
          <w:tcPr>
            <w:tcW w:type="dxa" w:w="3264"/>
          </w:tcPr>
          <w:p>
            <w:r>
              <w:t>Prompted reflection can correct failures.</w:t>
            </w:r>
          </w:p>
        </w:tc>
        <w:tc>
          <w:tcPr>
            <w:tcW w:type="dxa" w:w="3264"/>
          </w:tcPr>
          <w:p>
            <w:r>
              <w:t>Kamoi et al. (2024); Liu et al. (2026).</w:t>
            </w:r>
          </w:p>
        </w:tc>
        <w:tc>
          <w:tcPr>
            <w:tcW w:type="dxa" w:w="3264"/>
          </w:tcPr>
          <w:p>
            <w:r>
              <w:t>Mixed/limited evidence. Use reflection as a baseline; rely on external, verifiable feedback where possible.</w:t>
            </w:r>
          </w:p>
        </w:tc>
      </w:tr>
      <w:tr>
        <w:tc>
          <w:tcPr>
            <w:tcW w:type="dxa" w:w="3264"/>
          </w:tcPr>
          <w:p>
            <w:r>
              <w:t>Instruction hierarchy guarantees priority compliance.</w:t>
            </w:r>
          </w:p>
        </w:tc>
        <w:tc>
          <w:tcPr>
            <w:tcW w:type="dxa" w:w="3264"/>
          </w:tcPr>
          <w:p>
            <w:r>
              <w:t>Wallace et al. (2024); Geng et al. (2026); Menon et al. (2026).</w:t>
            </w:r>
          </w:p>
        </w:tc>
        <w:tc>
          <w:tcPr>
            <w:tcW w:type="dxa" w:w="3264"/>
          </w:tcPr>
          <w:p>
            <w:r>
              <w:t>Not supported as a general guarantee. Runtime enforcement and adversarial evaluation remain necessary.</w:t>
            </w:r>
          </w:p>
        </w:tc>
      </w:tr>
      <w:tr>
        <w:tc>
          <w:tcPr>
            <w:tcW w:type="dxa" w:w="3264"/>
          </w:tcPr>
          <w:p>
            <w:r>
              <w:t>A goal can be wrong or unintended despite a correct specification.</w:t>
            </w:r>
          </w:p>
        </w:tc>
        <w:tc>
          <w:tcPr>
            <w:tcW w:type="dxa" w:w="3264"/>
          </w:tcPr>
          <w:p>
            <w:r>
              <w:t>Shah et al. (2022).</w:t>
            </w:r>
          </w:p>
        </w:tc>
        <w:tc>
          <w:tcPr>
            <w:tcW w:type="dxa" w:w="3264"/>
          </w:tcPr>
          <w:p>
            <w:r>
              <w:t>Established adjacent concept. Distinguish objective validity drift from goal misgeneralization.</w:t>
            </w:r>
          </w:p>
        </w:tc>
      </w:tr>
      <w:tr>
        <w:tc>
          <w:tcPr>
            <w:tcW w:type="dxa" w:w="3264"/>
          </w:tcPr>
          <w:p>
            <w:r>
              <w:t>A Context-Consistency Margin measures alignment.</w:t>
            </w:r>
          </w:p>
        </w:tc>
        <w:tc>
          <w:tcPr>
            <w:tcW w:type="dxa" w:w="3264"/>
          </w:tcPr>
          <w:p>
            <w:r>
              <w:t>No source in this initial review validates the proposed M_t.</w:t>
            </w:r>
          </w:p>
        </w:tc>
        <w:tc>
          <w:tcPr>
            <w:tcW w:type="dxa" w:w="3264"/>
          </w:tcPr>
          <w:p>
            <w:r>
              <w:t>Novel proposed metric, currently speculative. Define labels, calibration, ablations, and compare against simple symbolic/learned baselines.</w:t>
            </w:r>
          </w:p>
        </w:tc>
      </w:tr>
      <w:tr>
        <w:tc>
          <w:tcPr>
            <w:tcW w:type="dxa" w:w="3264"/>
          </w:tcPr>
          <w:p>
            <w:r>
              <w:t>A dual-stream latent coprocessor reduces absorption drift.</w:t>
            </w:r>
          </w:p>
        </w:tc>
        <w:tc>
          <w:tcPr>
            <w:tcW w:type="dxa" w:w="3264"/>
          </w:tcPr>
          <w:p>
            <w:r>
              <w:t>COMPASS is an architectural neighbour; no reviewed source validates this exact MTA mechanism.</w:t>
            </w:r>
          </w:p>
        </w:tc>
        <w:tc>
          <w:tcPr>
            <w:tcW w:type="dxa" w:w="3264"/>
          </w:tcPr>
          <w:p>
            <w:r>
              <w:t>Unvalidated hypothesis. Need head-to-head tests and component ablations; avoid novelty claims until broader search.</w:t>
            </w:r>
          </w:p>
        </w:tc>
      </w:tr>
      <w:tr>
        <w:tc>
          <w:tcPr>
            <w:tcW w:type="dxa" w:w="3264"/>
          </w:tcPr>
          <w:p>
            <w:r>
              <w:t>Recall–application dissociation is the defining signature.</w:t>
            </w:r>
          </w:p>
        </w:tc>
        <w:tc>
          <w:tcPr>
            <w:tcW w:type="dxa" w:w="3264"/>
          </w:tcPr>
          <w:p>
            <w:r>
              <w:t>Adjacent to goal-drift and self-correction work, but not established here as a standard named construct.</w:t>
            </w:r>
          </w:p>
        </w:tc>
        <w:tc>
          <w:tcPr>
            <w:tcW w:type="dxa" w:w="3264"/>
          </w:tcPr>
          <w:p>
            <w:r>
              <w:t>Potential operational contribution. Define precisely and show it adds explanatory value beyond ordinary action-error metrics.</w:t>
            </w:r>
          </w:p>
        </w:tc>
      </w:tr>
      <w:tr>
        <w:tc>
          <w:tcPr>
            <w:tcW w:type="dxa" w:w="3264"/>
          </w:tcPr>
          <w:p>
            <w:r>
              <w:t>Contextual validity conditions should be explicitly bound to the objective.</w:t>
            </w:r>
          </w:p>
        </w:tc>
        <w:tc>
          <w:tcPr>
            <w:tcW w:type="dxa" w:w="3264"/>
          </w:tcPr>
          <w:p>
            <w:r>
              <w:t>Conceptually related to goal specification, runtime monitoring, and context-management work.</w:t>
            </w:r>
          </w:p>
        </w:tc>
        <w:tc>
          <w:tcPr>
            <w:tcW w:type="dxa" w:w="3264"/>
          </w:tcPr>
          <w:p>
            <w:r>
              <w:t>Candidate core contribution. Needs formal semantics and comparisons against existing agent scaffolds and runtime assurance.</w:t>
            </w:r>
          </w:p>
        </w:tc>
      </w:tr>
    </w:tbl>
    <w:p>
      <w:pPr>
        <w:pStyle w:val="Heading2"/>
      </w:pPr>
      <w:r>
        <w:t>14.7 Revised novelty position</w:t>
      </w:r>
    </w:p>
    <w:p>
      <w:r>
        <w:t>The broad framing—long-horizon goal drift, context accumulation, meta-level oversight, reflection, instruction hierarchy, and agent governance—substantially overlaps with existing work. A defensible research contribution cannot be “agents need to remember their goals” or “use a second monitor.”</w:t>
      </w:r>
    </w:p>
    <w:p>
      <w:r>
        <w:t>The more promising, narrower contribution is a testable distinction between (a) deviation from a fixed goal and (b) failure to update the appropriateness of that goal when its contextual validity conditions change. MTA can then ask whether explicit goal–context binding plus event-triggered monitoring improves this second capability, measured by appropriate suspension/revision and false-interruption rates, compared with ordinary agents, reflection-only agents, and context-reminder controls.</w:t>
      </w:r>
    </w:p>
    <w:p>
      <w:r>
        <w:t>A second possible contribution is a measurement framework that jointly tests constraint recall, action application, context-change detection, and action gating. This must be compared to prior goal-drift benchmarks and must not be presented as wholly new until the literature search is broader.</w:t>
      </w:r>
    </w:p>
    <w:p>
      <w:pPr>
        <w:pStyle w:val="Heading2"/>
      </w:pPr>
      <w:r>
        <w:t>14.8 Design consequences for the experiment</w:t>
      </w:r>
    </w:p>
    <w:p>
      <w:pPr>
        <w:pStyle w:val="ListBullet"/>
      </w:pPr>
      <w:r>
        <w:t>Include the Arike-style goal-drift paradigm as an adjacent baseline where feasible, but create separate trials where the goal is initially valid and later becomes invalid because the environment changes.</w:t>
      </w:r>
    </w:p>
    <w:p>
      <w:pPr>
        <w:pStyle w:val="ListBullet"/>
      </w:pPr>
      <w:r>
        <w:t>Separate fixed-goal adherence from contextual-goal validity. A system that stubbornly adheres to an old objective may score well on a fixed-goal benchmark yet fail MTA’s context-change test.</w:t>
      </w:r>
    </w:p>
    <w:p>
      <w:pPr>
        <w:pStyle w:val="ListBullet"/>
      </w:pPr>
      <w:r>
        <w:t>Use a paired 2×2 or factorial design where practical: sustained versus short task history, crossed with validity-changing versus non-validity-changing context updates.</w:t>
      </w:r>
    </w:p>
    <w:p>
      <w:pPr>
        <w:pStyle w:val="ListBullet"/>
      </w:pPr>
      <w:r>
        <w:t>Add context-reminder and reflection-only conditions, with matched access to facts and similar token budgets.</w:t>
      </w:r>
    </w:p>
    <w:p>
      <w:pPr>
        <w:pStyle w:val="ListBullet"/>
      </w:pPr>
      <w:r>
        <w:t>Measure both failure to intervene and unnecessary intervention. Report latency/cost and uncertainty, not just aggregate success.</w:t>
      </w:r>
    </w:p>
    <w:p>
      <w:pPr>
        <w:pStyle w:val="ListBullet"/>
      </w:pPr>
      <w:r>
        <w:t>Include action-level, machine-checkable outcomes where possible. Blind human raters should score ambiguous semantic cases using a frozen rubric.</w:t>
      </w:r>
    </w:p>
    <w:p>
      <w:pPr>
        <w:pStyle w:val="ListBullet"/>
      </w:pPr>
      <w:r>
        <w:t>Treat monitor outputs as predictions to evaluate, not ground truth. Calibrate thresholds on a development set and freeze them before the held-out test.</w:t>
      </w:r>
    </w:p>
    <w:p>
      <w:pPr>
        <w:pStyle w:val="ListBullet"/>
      </w:pPr>
      <w:r>
        <w:t>Do not infer that a latent stream or attention mechanism caused an effect from an API-level controller result. Architectural mechanism claims require separate experiments.</w:t>
      </w:r>
    </w:p>
    <w:p>
      <w:pPr>
        <w:pStyle w:val="Heading2"/>
      </w:pPr>
      <w:r>
        <w:t>14.9 Limitations of this review</w:t>
      </w:r>
    </w:p>
    <w:p>
      <w:r>
        <w:t>This was a focused search for directly adjacent work, not a systematic review. It did not exhaustively cover runtime assurance, control theory, formal methods, process supervision, uncertainty estimation, mechanistic interpretability, state-space models, constitutional AI, or safety cases. The publication status and versions of preprints should be verified before submission. No novelty claim should be finalized until those areas are reviewed and search strings, inclusion criteria, and search dates are recorded.</w:t>
      </w:r>
    </w:p>
    <w:p>
      <w:pPr>
        <w:pStyle w:val="Heading1"/>
      </w:pPr>
      <w:r>
        <w:t>15. References</w:t>
      </w:r>
    </w:p>
    <w:p>
      <w:pPr>
        <w:pStyle w:val="ListNumber"/>
      </w:pPr>
      <w:r>
        <w:t>[R1] Arike, R., Donoway, E., Bartsch, H., &amp; Hobbhahn, M. (2025). Evaluating Goal Drift in Language Model Agents. Proceedings of the Eighth AAAI/ACM Conference on AI, Ethics, and Society, 8(1), 192–203. https://doi.org/10.1609/aies.v8i1.36541</w:t>
        <w:br/>
      </w:r>
      <w:r>
        <w:rPr>
          <w:color w:val="0563C1"/>
          <w:u w:val="single"/>
        </w:rPr>
        <w:t>https://ojs.aaai.org/index.php/AIES/article/view/36541</w:t>
      </w:r>
    </w:p>
    <w:p>
      <w:pPr>
        <w:pStyle w:val="ListNumber"/>
      </w:pPr>
      <w:r>
        <w:t>[R2] Menon, A., Saebo, M., Crosse, T., Gibson, S., Jang, E., &amp; Cruz, D. (2026). Inherited Goal Drift: Contextual Pressure Can Undermine Agentic Goals. arXiv:2603.03258.</w:t>
        <w:br/>
      </w:r>
      <w:r>
        <w:rPr>
          <w:color w:val="0563C1"/>
          <w:u w:val="single"/>
        </w:rPr>
        <w:t>https://arxiv.org/abs/2603.03258</w:t>
      </w:r>
    </w:p>
    <w:p>
      <w:pPr>
        <w:pStyle w:val="ListNumber"/>
      </w:pPr>
      <w:r>
        <w:t>[R3] Wan, G., Ling, M., Han, X., Han, R., Li, S., &amp; Zhang, Z. (2025/2026). COMPASS: Enhancing Agent Long-Horizon Reasoning with Evolving Context. ACL 2026 Long Papers.</w:t>
        <w:br/>
      </w:r>
      <w:r>
        <w:rPr>
          <w:color w:val="0563C1"/>
          <w:u w:val="single"/>
        </w:rPr>
        <w:t>https://aclanthology.org/2026.acl-long.152/</w:t>
      </w:r>
    </w:p>
    <w:p>
      <w:pPr>
        <w:pStyle w:val="ListNumber"/>
      </w:pPr>
      <w:r>
        <w:t>[R4] Kamoi, R., Zhang, Y., Zhang, N., Han, J., &amp; Zhang, R. (2024). When Can LLMs Actually Correct Their Own Mistakes? A Critical Survey of Self-Correction of LLMs. Transactions of the Association for Computational Linguistics, 12, 1417–1440. https://doi.org/10.1162/tacl_a_00713</w:t>
        <w:br/>
      </w:r>
      <w:r>
        <w:rPr>
          <w:color w:val="0563C1"/>
          <w:u w:val="single"/>
        </w:rPr>
        <w:t>https://aclanthology.org/2024.tacl-1.78/</w:t>
      </w:r>
    </w:p>
    <w:p>
      <w:pPr>
        <w:pStyle w:val="ListNumber"/>
      </w:pPr>
      <w:r>
        <w:t>[R5] Liu, Z., Xiao, L., Li, Y., Yun, H., Li, L., Zhang, C., &amp; Jiang, M. (2026). Do LLMs Catch Their Own Mistakes? A Comprehensive Benchmark for Reflective Tool Use LLMs. Findings of ACL 2026, 1748–1773.</w:t>
        <w:br/>
      </w:r>
      <w:r>
        <w:rPr>
          <w:color w:val="0563C1"/>
          <w:u w:val="single"/>
        </w:rPr>
        <w:t>https://aclanthology.org/2026.findings-acl.86/</w:t>
      </w:r>
    </w:p>
    <w:p>
      <w:pPr>
        <w:pStyle w:val="ListNumber"/>
      </w:pPr>
      <w:r>
        <w:t>[R6] Wallace, E., Xiao, K., Leike, R., Weng, L., Heidecke, J., &amp; Beutel, A. (2024). The Instruction Hierarchy: Training LLMs to Prioritize Privileged Instructions. OpenAI research publication / arXiv:2404.13208.</w:t>
        <w:br/>
      </w:r>
      <w:r>
        <w:rPr>
          <w:color w:val="0563C1"/>
          <w:u w:val="single"/>
        </w:rPr>
        <w:t>https://openai.com/index/the-instruction-hierarchy/</w:t>
      </w:r>
    </w:p>
    <w:p>
      <w:pPr>
        <w:pStyle w:val="ListNumber"/>
      </w:pPr>
      <w:r>
        <w:t>[R7] Geng, Y., Li, H., Mu, H., Han, X., Baldwin, T., Abend, O., Hovy, E., &amp; Frermann, L. (2026). Control Illusion: The Failure of Instruction Hierarchies in Large Language Models. Proceedings of the AAAI Conference on Artificial Intelligence, 40(36), 30816–30824. https://doi.org/10.1609/aaai.v40i36.40339</w:t>
        <w:br/>
      </w:r>
      <w:r>
        <w:rPr>
          <w:color w:val="0563C1"/>
          <w:u w:val="single"/>
        </w:rPr>
        <w:t>https://ojs.aaai.org/index.php/AAAI/article/view/40339</w:t>
      </w:r>
    </w:p>
    <w:p>
      <w:pPr>
        <w:pStyle w:val="ListNumber"/>
      </w:pPr>
      <w:r>
        <w:t>[R8] Shah, R., Varma, V., Kumar, R., Phuong, M., Krakovna, V., Uesato, J., &amp; Kenton, Z. (2022). Goal Misgeneralization: Why Correct Specifications Aren’t Enough for Correct Goals. arXiv:2210.01790.</w:t>
        <w:br/>
      </w:r>
      <w:r>
        <w:rPr>
          <w:color w:val="0563C1"/>
          <w:u w:val="single"/>
        </w:rPr>
        <w:t>https://arxiv.org/abs/2210.01790</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Research draft — hypotheses and architecture proposals are not yet validated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MTA | WORKING PAPER | REVISION 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374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74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374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