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ISO 27031_2011 信息技术安全 业务连续性指南 中文版（IT 系统灾备）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一、标准概述与核心定位（资深深度解读）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ISO/IEC 27031:2011是</w:t>
      </w:r>
      <w:r>
        <w:rPr>
          <w:rFonts w:eastAsia="等线" w:ascii="Arial" w:cs="Arial" w:hAnsi="Arial"/>
          <w:b w:val="true"/>
          <w:sz w:val="22"/>
        </w:rPr>
        <w:t>全球唯一针对ICT（信息与通信技术）业务连续性的专项技术指南</w:t>
      </w:r>
      <w:r>
        <w:rPr>
          <w:rFonts w:eastAsia="等线" w:ascii="Arial" w:cs="Arial" w:hAnsi="Arial"/>
          <w:sz w:val="22"/>
        </w:rPr>
        <w:t>，国内等同转化国标为GB/T 32914-2016《信息技术 安全技术 业务连续性的信息和通信技术就绪指南》。该标准隶属于ISO 27000信息安全体系家族，专门弥补通用业务连续性标准的技术空白，核心聚焦</w:t>
      </w:r>
      <w:r>
        <w:rPr>
          <w:rFonts w:eastAsia="等线" w:ascii="Arial" w:cs="Arial" w:hAnsi="Arial"/>
          <w:b w:val="true"/>
          <w:sz w:val="22"/>
        </w:rPr>
        <w:t>IT系统灾备、ICT服务抗中断、技术层业务连续性保障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在行业体系架构中，该标准具备不可替代的专属定位，彻底厘清了通用业务连续与IT技术灾备的边界：</w:t>
      </w:r>
      <w:r>
        <w:rPr>
          <w:rFonts w:eastAsia="等线" w:ascii="Arial" w:cs="Arial" w:hAnsi="Arial"/>
          <w:b w:val="true"/>
          <w:sz w:val="22"/>
        </w:rPr>
        <w:t>ISO 22301定义业务连续性的管理要求、业务指标（RTO/RPO）与管理体系框架，解决“需要做到什么”；而ISO 27031:2011定义IT侧落地技术方法、灾备建设规范、ICT服务恢复能力，解决“如何技术落地实现”</w:t>
      </w:r>
      <w:r>
        <w:rPr>
          <w:rFonts w:eastAsia="等线" w:ascii="Arial" w:cs="Arial" w:hAnsi="Arial"/>
          <w:sz w:val="22"/>
        </w:rPr>
        <w:t>。同时该标准作为ISO 27001的重要支撑规范，将信息安全管控与业务连续性、IT灾备深度融合，是企业建设IT灾备体系、通过BCMS/ISMS认证、应对突发故障与灾难的核心技术依据。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适用于全行业、全规模组织，覆盖所有支撑业务运行的ICT基础设施，包含服务器、存储、网络设备、业务系统、数据库、云资源、通信链路等，不仅适配自然灾害、设备故障、人为误操作、网络攻击、勒索病毒等各类中断场景，同时覆盖计划性停机与非计划性灾难事故，是企业搭建标准化、合规化、可落地IT灾备体系的权威指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标准核心核心目标：</w:t>
      </w:r>
      <w:r>
        <w:rPr>
          <w:rFonts w:eastAsia="等线" w:ascii="Arial" w:cs="Arial" w:hAnsi="Arial"/>
          <w:b w:val="true"/>
          <w:sz w:val="22"/>
        </w:rPr>
        <w:t>建立常态化ICT就绪能力（IRBC），保障各类灾难场景下，IT系统可按照预设指标快速恢复，杜绝因IT中断导致业务停摆，实现业务连续性的技术兜底保障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二、核心概念与体系边界（行业高频混淆点厘清）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IRBC核心定义（标准核心专有概念）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ISO 27031:2011首次明确</w:t>
      </w:r>
      <w:r>
        <w:rPr>
          <w:rFonts w:eastAsia="等线" w:ascii="Arial" w:cs="Arial" w:hAnsi="Arial"/>
          <w:b w:val="true"/>
          <w:sz w:val="22"/>
        </w:rPr>
        <w:t>IRBC（ICT Readiness for Business Continuity，ICT业务连续性就绪能力）</w:t>
      </w:r>
      <w:r>
        <w:rPr>
          <w:rFonts w:eastAsia="等线" w:ascii="Arial" w:cs="Arial" w:hAnsi="Arial"/>
          <w:sz w:val="22"/>
        </w:rPr>
        <w:t>核心概念，也是本标准的核心落地载体：指组织通过标准化的流程、技术、资源、人员保障，让所有ICT系统具备抵御中断、快速响应、按时恢复、持续运行的常态化能力，区别于临时应急处置，是一套闭环、可持续、可迭代的IT灾备管理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核心标准体系区分（资深避坑解读）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ISO 27001</w:t>
      </w:r>
      <w:r>
        <w:rPr>
          <w:rFonts w:eastAsia="等线" w:ascii="Arial" w:cs="Arial" w:hAnsi="Arial"/>
          <w:sz w:val="22"/>
        </w:rPr>
        <w:t>：信息安全管理体系，侧重风险管控、安全合规，将业务连续性作为核心安全控制项；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ISO 22301</w:t>
      </w:r>
      <w:r>
        <w:rPr>
          <w:rFonts w:eastAsia="等线" w:ascii="Arial" w:cs="Arial" w:hAnsi="Arial"/>
          <w:sz w:val="22"/>
        </w:rPr>
        <w:t>：通用业务连续性管理体系，侧重业务流程、组织管理、应急制度，属于管理层体系；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ISO 27031:2011</w:t>
      </w:r>
      <w:r>
        <w:rPr>
          <w:rFonts w:eastAsia="等线" w:ascii="Arial" w:cs="Arial" w:hAnsi="Arial"/>
          <w:sz w:val="22"/>
        </w:rPr>
        <w:t>：纯技术层落地指南，聚焦IT系统、数据、网络、基础设施的灾备建设与恢复，是ISO 22301的唯一IT技术落地支撑标准；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ISO 27035</w:t>
      </w:r>
      <w:r>
        <w:rPr>
          <w:rFonts w:eastAsia="等线" w:ascii="Arial" w:cs="Arial" w:hAnsi="Arial"/>
          <w:sz w:val="22"/>
        </w:rPr>
        <w:t>：信息安全事件管理，侧重事件响应处置，而27031侧重事前就绪、灾后恢复与常态化灾备能力。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关键核心术语（灾备落地必备）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RTO（恢复时间目标）</w:t>
      </w:r>
      <w:r>
        <w:rPr>
          <w:rFonts w:eastAsia="等线" w:ascii="Arial" w:cs="Arial" w:hAnsi="Arial"/>
          <w:sz w:val="22"/>
        </w:rPr>
        <w:t>：业务/IT系统中断后，允许的最大恢复时长，衡量灾备</w:t>
      </w:r>
      <w:r>
        <w:rPr>
          <w:rFonts w:eastAsia="等线" w:ascii="Arial" w:cs="Arial" w:hAnsi="Arial"/>
          <w:b w:val="true"/>
          <w:sz w:val="22"/>
        </w:rPr>
        <w:t>恢复效率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RPO（恢复点目标）</w:t>
      </w:r>
      <w:r>
        <w:rPr>
          <w:rFonts w:eastAsia="等线" w:ascii="Arial" w:cs="Arial" w:hAnsi="Arial"/>
          <w:sz w:val="22"/>
        </w:rPr>
        <w:t>：灾难恢复后，允许丢失的最大数据量/时间跨度，衡量灾备</w:t>
      </w:r>
      <w:r>
        <w:rPr>
          <w:rFonts w:eastAsia="等线" w:ascii="Arial" w:cs="Arial" w:hAnsi="Arial"/>
          <w:b w:val="true"/>
          <w:sz w:val="22"/>
        </w:rPr>
        <w:t>数据完整性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ICT中断事件</w:t>
      </w:r>
      <w:r>
        <w:rPr>
          <w:rFonts w:eastAsia="等线" w:ascii="Arial" w:cs="Arial" w:hAnsi="Arial"/>
          <w:sz w:val="22"/>
        </w:rPr>
        <w:t>：所有导致IT系统、网络、数据、通信服务不可用的事件，含硬件故障、病毒攻击、机房断电、链路中断、自然灾害、人为操作失误等；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灾难恢复</w:t>
      </w:r>
      <w:r>
        <w:rPr>
          <w:rFonts w:eastAsia="等线" w:ascii="Arial" w:cs="Arial" w:hAnsi="Arial"/>
          <w:sz w:val="22"/>
        </w:rPr>
        <w:t>：针对重大ICT中断，通过备用资源、灾备系统实现核心IT服务重启的完整流程；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业务连续性</w:t>
      </w:r>
      <w:r>
        <w:rPr>
          <w:rFonts w:eastAsia="等线" w:ascii="Arial" w:cs="Arial" w:hAnsi="Arial"/>
          <w:sz w:val="22"/>
        </w:rPr>
        <w:t>：依托IT灾备能力，保障核心业务在故障期间持续运转、最小化损失的整体能力。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三、ISO 27031:2011核心实施框架与六大要素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标准严格沿用PDCA持续改进循环，搭建了</w:t>
      </w:r>
      <w:r>
        <w:rPr>
          <w:rFonts w:eastAsia="等线" w:ascii="Arial" w:cs="Arial" w:hAnsi="Arial"/>
          <w:b w:val="true"/>
          <w:sz w:val="22"/>
        </w:rPr>
        <w:t>策划-实施-检查-改进</w:t>
      </w:r>
      <w:r>
        <w:rPr>
          <w:rFonts w:eastAsia="等线" w:ascii="Arial" w:cs="Arial" w:hAnsi="Arial"/>
          <w:sz w:val="22"/>
        </w:rPr>
        <w:t>的全生命周期IT灾备管理体系，并明确IRBC体系必须包含六大核心要素，缺一不可，是认证审核、内部落地的核心核查点。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PDCA闭环运行机制（标准底层逻辑）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Plan策划</w:t>
      </w:r>
      <w:r>
        <w:rPr>
          <w:rFonts w:eastAsia="等线" w:ascii="Arial" w:cs="Arial" w:hAnsi="Arial"/>
          <w:sz w:val="22"/>
        </w:rPr>
        <w:t>：开展ICT风险评估、业务影响分析，定义RTO/RPO指标，制定IT灾备策略、预案与资源规划；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Do实施</w:t>
      </w:r>
      <w:r>
        <w:rPr>
          <w:rFonts w:eastAsia="等线" w:ascii="Arial" w:cs="Arial" w:hAnsi="Arial"/>
          <w:sz w:val="22"/>
        </w:rPr>
        <w:t>：落地灾备技术建设、人员培训、制度搭建、资源部署，常态化执行数据备份、系统冗余、运维管控；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Check检查</w:t>
      </w:r>
      <w:r>
        <w:rPr>
          <w:rFonts w:eastAsia="等线" w:ascii="Arial" w:cs="Arial" w:hAnsi="Arial"/>
          <w:sz w:val="22"/>
        </w:rPr>
        <w:t>：定期开展灾备演练、有效性测试、指标核查、风险复盘，验证IT恢复能力达标情况；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Act改进</w:t>
      </w:r>
      <w:r>
        <w:rPr>
          <w:rFonts w:eastAsia="等线" w:ascii="Arial" w:cs="Arial" w:hAnsi="Arial"/>
          <w:sz w:val="22"/>
        </w:rPr>
        <w:t>：针对演练漏洞、故障事件、业务变更、新型风险，迭代优化灾备方案、指标阈值与管控流程。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IRBC体系六大核心必备要素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标准明确所有IT业务连续性就绪体系，必须覆盖人员、技能、流程、技术、资源、文档六大维度，杜绝残缺化建设：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人员与技能</w:t>
      </w:r>
      <w:r>
        <w:rPr>
          <w:rFonts w:eastAsia="等线" w:ascii="Arial" w:cs="Arial" w:hAnsi="Arial"/>
          <w:sz w:val="22"/>
        </w:rPr>
        <w:t>：配置专职灾备管理员、应急运维人员，团队具备故障排查、系统恢复、灾备切换、应急处置专项技能，定期开展技能培训；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流程与预案</w:t>
      </w:r>
      <w:r>
        <w:rPr>
          <w:rFonts w:eastAsia="等线" w:ascii="Arial" w:cs="Arial" w:hAnsi="Arial"/>
          <w:sz w:val="22"/>
        </w:rPr>
        <w:t>：建立标准化的中断响应、灾备切换、系统恢复、事后复盘流程，针对不同故障场景制定专项IT灾备预案；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技术与架构</w:t>
      </w:r>
      <w:r>
        <w:rPr>
          <w:rFonts w:eastAsia="等线" w:ascii="Arial" w:cs="Arial" w:hAnsi="Arial"/>
          <w:sz w:val="22"/>
        </w:rPr>
        <w:t>：通过冗余架构、数据备份、双活部署、链路备份等技术手段，从底层保障IT系统抗中断能力；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资源保障</w:t>
      </w:r>
      <w:r>
        <w:rPr>
          <w:rFonts w:eastAsia="等线" w:ascii="Arial" w:cs="Arial" w:hAnsi="Arial"/>
          <w:sz w:val="22"/>
        </w:rPr>
        <w:t>：预留备用服务器、存储、网络设备、机房资源、应急带宽，保障灾难发生时有充足资源支撑恢复；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监控与预警</w:t>
      </w:r>
      <w:r>
        <w:rPr>
          <w:rFonts w:eastAsia="等线" w:ascii="Arial" w:cs="Arial" w:hAnsi="Arial"/>
          <w:sz w:val="22"/>
        </w:rPr>
        <w:t>：搭建ICT系统全维度监控体系，实时监测服务器、数据库、网络、备份任务状态，提前识别故障风险；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文档与记录</w:t>
      </w:r>
      <w:r>
        <w:rPr>
          <w:rFonts w:eastAsia="等线" w:ascii="Arial" w:cs="Arial" w:hAnsi="Arial"/>
          <w:sz w:val="22"/>
        </w:rPr>
        <w:t>：完整留存风险评估报告、BIA分析报告、灾备方案、演练记录、故障处置台账、改进记录，实现全程可追溯。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四、ISO 27031:2011 IT灾备全流程落地规范（资深实操版）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结合标准条款与十余年行业落地经验，拆解从前期评估、策略制定、灾备建设、常态化运维到复盘改进的全流程落地标准，完全贴合审核要求，可直接用于企业体系搭建。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 第一步：ICT风险与业务影响分析（基础核心）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标准强制要求，所有IT灾备建设必须基于精准的风险评估与BIA业务影响分析，禁止盲目建设、过度建设或建设不足。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ICT风险识别</w:t>
      </w:r>
      <w:r>
        <w:rPr>
          <w:rFonts w:eastAsia="等线" w:ascii="Arial" w:cs="Arial" w:hAnsi="Arial"/>
          <w:sz w:val="22"/>
        </w:rPr>
        <w:t>：全面识别机房、硬件、软件、数据、网络、人员、供应链、自然灾害等所有可能导致IT中断的风险，采用FMEA失效模式分析等标准推荐方法，评估风险发生概率与影响等级；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业务影响分析（BIA）</w:t>
      </w:r>
      <w:r>
        <w:rPr>
          <w:rFonts w:eastAsia="等线" w:ascii="Arial" w:cs="Arial" w:hAnsi="Arial"/>
          <w:sz w:val="22"/>
        </w:rPr>
        <w:t>：关联IT系统与核心业务，量化IT中断对业务营收、客户、合规、声誉的损失，区分核心、重要、一般IT系统，差异化定义恢复指标；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指标确定</w:t>
      </w:r>
      <w:r>
        <w:rPr>
          <w:rFonts w:eastAsia="等线" w:ascii="Arial" w:cs="Arial" w:hAnsi="Arial"/>
          <w:sz w:val="22"/>
        </w:rPr>
        <w:t>：基于风险与业务影响，明确各IT系统、核心数据库、业务服务的RTO、RPO阈值，形成《IT灾备指标清单》，作为后续建设的唯一依据。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4.2 第二步：分级IT灾备策略制定（标准合规核心）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ISO 27031:2011禁止一刀切灾备建设，要求</w:t>
      </w:r>
      <w:r>
        <w:rPr>
          <w:rFonts w:eastAsia="等线" w:ascii="Arial" w:cs="Arial" w:hAnsi="Arial"/>
          <w:b w:val="true"/>
          <w:sz w:val="22"/>
        </w:rPr>
        <w:t>基于业务优先级分级适配灾备模式</w:t>
      </w:r>
      <w:r>
        <w:rPr>
          <w:rFonts w:eastAsia="等线" w:ascii="Arial" w:cs="Arial" w:hAnsi="Arial"/>
          <w:sz w:val="22"/>
        </w:rPr>
        <w:t>，平衡安全合规与成本投入，行业通用分级落地标准如下：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业务等级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适配RTO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适配RPO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标准推荐灾</w:t>
            </w:r>
            <w:r>
              <w:rPr>
                <w:rFonts w:eastAsia="等线" w:ascii="Arial" w:cs="Arial" w:hAnsi="Arial"/>
                <w:sz w:val="22"/>
              </w:rPr>
              <w:t>备模式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一级核心业务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中断直接导致营收停滞、重大合规事故</w:t>
            </w:r>
            <w:r>
              <w:rPr>
                <w:rFonts w:eastAsia="等线" w:ascii="Arial" w:cs="Arial" w:hAnsi="Arial"/>
                <w:sz w:val="22"/>
              </w:rPr>
              <w:t>、客户大规模流失（支付系统、核心交易系统、生产主系统）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≤5分钟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双活热备、异地多活</w:t>
            </w:r>
            <w:r>
              <w:rPr>
                <w:rFonts w:eastAsia="等线" w:ascii="Arial" w:cs="Arial" w:hAnsi="Arial"/>
                <w:sz w:val="22"/>
              </w:rPr>
              <w:t>、实时数据同步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二级重要业务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短时中断影响</w:t>
            </w:r>
            <w:r>
              <w:rPr>
                <w:rFonts w:eastAsia="等线" w:ascii="Arial" w:cs="Arial" w:hAnsi="Arial"/>
                <w:sz w:val="22"/>
              </w:rPr>
              <w:t>业务效率，无致命损失（OA、客户管理系统、普通业务后台）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1-4小时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15-</w:t>
            </w:r>
            <w:r>
              <w:rPr>
                <w:rFonts w:eastAsia="等线" w:ascii="Arial" w:cs="Arial" w:hAnsi="Arial"/>
                <w:sz w:val="22"/>
              </w:rPr>
              <w:t>30分钟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异地温备、定时增量同步、集群</w:t>
            </w:r>
            <w:r>
              <w:rPr>
                <w:rFonts w:eastAsia="等线" w:ascii="Arial" w:cs="Arial" w:hAnsi="Arial"/>
                <w:sz w:val="22"/>
              </w:rPr>
              <w:t>冗余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三级一般业务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短时中断无明显业务影响</w:t>
            </w:r>
            <w:r>
              <w:rPr>
                <w:rFonts w:eastAsia="等线" w:ascii="Arial" w:cs="Arial" w:hAnsi="Arial"/>
                <w:sz w:val="22"/>
              </w:rPr>
              <w:t>（内部工具系统、归档系统）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4-24小时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1-24小时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本地冷备、定期全量备份、离线归档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4.3 第三步：四大标准IT灾备技术落地模式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依据ISO 27031技术规范，行业通用且合规的四类灾备模式，完全匹配上述分级策略：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冷备模式</w:t>
      </w:r>
      <w:r>
        <w:rPr>
          <w:rFonts w:eastAsia="等线" w:ascii="Arial" w:cs="Arial" w:hAnsi="Arial"/>
          <w:sz w:val="22"/>
        </w:rPr>
        <w:t>：本地/异地离线备份，设备平时停机，灾难发生后人工启动恢复，适配三级低优先级业务，满足基础合规备份要求；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温备模式</w:t>
      </w:r>
      <w:r>
        <w:rPr>
          <w:rFonts w:eastAsia="等线" w:ascii="Arial" w:cs="Arial" w:hAnsi="Arial"/>
          <w:sz w:val="22"/>
        </w:rPr>
        <w:t>：备用设备常态化开机，数据定时增量同步，故障后手动切换恢复，平衡成本与恢复效率，适配二级核心业务；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热备模式</w:t>
      </w:r>
      <w:r>
        <w:rPr>
          <w:rFonts w:eastAsia="等线" w:ascii="Arial" w:cs="Arial" w:hAnsi="Arial"/>
          <w:sz w:val="22"/>
        </w:rPr>
        <w:t>：主备系统实时数据同步，集群冗余部署，故障自动切换，无业务中断，适配一级核心业务；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双活模式</w:t>
      </w:r>
      <w:r>
        <w:rPr>
          <w:rFonts w:eastAsia="等线" w:ascii="Arial" w:cs="Arial" w:hAnsi="Arial"/>
          <w:sz w:val="22"/>
        </w:rPr>
        <w:t>：双机房同时承载业务、双向实时同步，单机房故障无感知，是标准最高等级灾备方案，适配金融、政务、互联网等高风险行业。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4.4 第四步：常态化运维与监控（标准强制要求）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ISO 27031:2011明确，灾备建设完成并非终点，常态化运维监控是保障就绪能力的核心：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数据备份常态化执行，每日核查备份任务成功率、数据完整性，杜绝备份失效、文件损坏；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24小时监控服务器、数据库、网络链路、灾备同步状态，异常即时告警处置；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定期清理过期备份数据，按照留存规范归档，保障灾备资源有效可用；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业务系统、架构、数据变更后，即时更新灾备策略，适配业务迭代。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4.5 第五步：灾备演练与有效性验证（审核核心项）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标准严格要求：</w:t>
      </w:r>
      <w:r>
        <w:rPr>
          <w:rFonts w:eastAsia="等线" w:ascii="Arial" w:cs="Arial" w:hAnsi="Arial"/>
          <w:b w:val="true"/>
          <w:sz w:val="22"/>
        </w:rPr>
        <w:t>禁止仅建设不演练，所有IT灾备能力必须通过常态化演练验证有效性</w:t>
      </w:r>
      <w:r>
        <w:rPr>
          <w:rFonts w:eastAsia="等线" w:ascii="Arial" w:cs="Arial" w:hAnsi="Arial"/>
          <w:sz w:val="22"/>
        </w:rPr>
        <w:t>，无演练记录、无复盘整改视为体系失效。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演练类型</w:t>
      </w:r>
      <w:r>
        <w:rPr>
          <w:rFonts w:eastAsia="等线" w:ascii="Arial" w:cs="Arial" w:hAnsi="Arial"/>
          <w:sz w:val="22"/>
        </w:rPr>
        <w:t>：包含桌面推演（季度）、模拟切换演练（半年）、全量灾难恢复演练（年度），覆盖单点故障、机房瘫痪、勒索病毒、链路中断等全场景；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演练核心要求</w:t>
      </w:r>
      <w:r>
        <w:rPr>
          <w:rFonts w:eastAsia="等线" w:ascii="Arial" w:cs="Arial" w:hAnsi="Arial"/>
          <w:sz w:val="22"/>
        </w:rPr>
        <w:t>：真实模拟灾难场景，全程记录切换时长、数据丢失量，核验实际RTO/RPO是否达标；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闭环复盘</w:t>
      </w:r>
      <w:r>
        <w:rPr>
          <w:rFonts w:eastAsia="等线" w:ascii="Arial" w:cs="Arial" w:hAnsi="Arial"/>
          <w:sz w:val="22"/>
        </w:rPr>
        <w:t>：演练后输出专项报告，梳理切换卡顿、数据同步异常、流程漏洞等问题，制定整改计划，迭代优化灾备体系。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4.6 第六步：故障处置与事后改进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真实发生的ICT中断事件，严格按照标准流程处置：快速启动应急预案、完成灾备切换、恢复业务运行、排查根因、修复漏洞、更新灾备策略，形成“故障处置-复盘分析-优化迭代”的闭环，持续提升IT业务连续性就绪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五、ISO 27031:2011核心合规要求（审核必查）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5.1 数据备份合规要求</w:t>
      </w:r>
      <w:bookmarkEnd w:id="16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所有核心业务数据、配置文件、系统日志必须全覆盖备份，无遗漏、无豁免；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备份介质需异地存放，规避同城机房整体故障风险，满足容灾基本要求；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定期开展备份恢复测试，验证数据可恢复性，杜绝“备份成功但无法恢复”的形式化建设；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备份数据严格落实保密性管控，禁止泄露、篡改、丢失。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5.2 架构冗余合规要求</w:t>
      </w:r>
      <w:bookmarkEnd w:id="1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核心网络链路、核心服务器、核心设备需具备冗余能力，杜绝单点故障；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关键业务系统需具备备用运行环境，保障突发故障可快速切换；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云环境需实现多可用区、多节点冗余部署，适配云端灾备规范。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5.3 人员与制度合规要求</w:t>
      </w:r>
      <w:bookmarkEnd w:id="18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建立完善的IT业务连续性管理制度、灾备管理办法、应急响应预案；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明确岗位职责，落实灾备运维、演练、应急专人负责制；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定期开展全员培训，让运维人员、业务人员熟知应急流程与灾备切换规范。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六、行业高频落地误区与资深优化方案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6.1 常见落地误区（审核高频不符合项）</w:t>
      </w:r>
      <w:bookmarkEnd w:id="20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重建设、轻演练</w:t>
      </w:r>
      <w:r>
        <w:rPr>
          <w:rFonts w:eastAsia="等线" w:ascii="Arial" w:cs="Arial" w:hAnsi="Arial"/>
          <w:sz w:val="22"/>
        </w:rPr>
        <w:t>：部署高端灾备设备，但常年不开展切换演练，真实故障发生后无法正常使用；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指标一刀切</w:t>
      </w:r>
      <w:r>
        <w:rPr>
          <w:rFonts w:eastAsia="等线" w:ascii="Arial" w:cs="Arial" w:hAnsi="Arial"/>
          <w:sz w:val="22"/>
        </w:rPr>
        <w:t>：所有业务统一设置相同RTO/RPO，低优先级资源浪费、高优先级保障不足，不符合标准分级要求；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形式化备份</w:t>
      </w:r>
      <w:r>
        <w:rPr>
          <w:rFonts w:eastAsia="等线" w:ascii="Arial" w:cs="Arial" w:hAnsi="Arial"/>
          <w:sz w:val="22"/>
        </w:rPr>
        <w:t>：仅执行备份任务，不做恢复测试，存在大量无效备份数据；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体系静态固化</w:t>
      </w:r>
      <w:r>
        <w:rPr>
          <w:rFonts w:eastAsia="等线" w:ascii="Arial" w:cs="Arial" w:hAnsi="Arial"/>
          <w:sz w:val="22"/>
        </w:rPr>
        <w:t>：业务迭代、系统升级后，灾备策略长期不更新，与实际业务不匹配；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重技术、轻管理</w:t>
      </w:r>
      <w:r>
        <w:rPr>
          <w:rFonts w:eastAsia="等线" w:ascii="Arial" w:cs="Arial" w:hAnsi="Arial"/>
          <w:sz w:val="22"/>
        </w:rPr>
        <w:t>：只搭建技术灾备架构，无制度、无记录、无复盘，无法通过体系认证审核。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6.2 资深落地优化方案</w:t>
      </w:r>
      <w:bookmarkEnd w:id="21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分级精细化管控</w:t>
      </w:r>
      <w:r>
        <w:rPr>
          <w:rFonts w:eastAsia="等线" w:ascii="Arial" w:cs="Arial" w:hAnsi="Arial"/>
          <w:sz w:val="22"/>
        </w:rPr>
        <w:t>：严格按照业务优先级拆分灾备指标，差异化配置技术方案，实现成本与安全平衡；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常态化演练闭环</w:t>
      </w:r>
      <w:r>
        <w:rPr>
          <w:rFonts w:eastAsia="等线" w:ascii="Arial" w:cs="Arial" w:hAnsi="Arial"/>
          <w:sz w:val="22"/>
        </w:rPr>
        <w:t>：固定演练频次，留存完整演练视频、记录、报告、整改资料，形成可追溯证据链；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动态迭代更新</w:t>
      </w:r>
      <w:r>
        <w:rPr>
          <w:rFonts w:eastAsia="等线" w:ascii="Arial" w:cs="Arial" w:hAnsi="Arial"/>
          <w:sz w:val="22"/>
        </w:rPr>
        <w:t>：每季度结合业务变更、风险变化，复盘优化RTO/RPO指标与灾备策略；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技术+管理双落地</w:t>
      </w:r>
      <w:r>
        <w:rPr>
          <w:rFonts w:eastAsia="等线" w:ascii="Arial" w:cs="Arial" w:hAnsi="Arial"/>
          <w:sz w:val="22"/>
        </w:rPr>
        <w:t>：同步完善技术架构与制度文档，补齐人员培训、运维记录、复盘改进资料；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自动化监控赋能</w:t>
      </w:r>
      <w:r>
        <w:rPr>
          <w:rFonts w:eastAsia="等线" w:ascii="Arial" w:cs="Arial" w:hAnsi="Arial"/>
          <w:sz w:val="22"/>
        </w:rPr>
        <w:t>：启用灾备任务自动监控、异常告警功能，减少人工疏漏，保障备份有效性。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七、标准落地价值与总结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ISO/IEC 27031:2011作为IT业务连续性与灾备领域的</w:t>
      </w:r>
      <w:r>
        <w:rPr>
          <w:rFonts w:eastAsia="等线" w:ascii="Arial" w:cs="Arial" w:hAnsi="Arial"/>
          <w:b w:val="true"/>
          <w:sz w:val="22"/>
        </w:rPr>
        <w:t>唯一权威技术指南</w:t>
      </w:r>
      <w:r>
        <w:rPr>
          <w:rFonts w:eastAsia="等线" w:ascii="Arial" w:cs="Arial" w:hAnsi="Arial"/>
          <w:sz w:val="22"/>
        </w:rPr>
        <w:t>，填补了通用管理体系在技术落地层面的空白，是企业从“被动应急”转向“主动容灾”的核心依据。其核心价值并非单纯满足认证合规，而是通过标准化的风险评估、分级策略、技术架构、演练机制、闭环改进体系，全方位提升企业IT系统的抗中断、抗灾难能力，最小化突发故障带来的业务损失、合规风险与声誉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对于企业而言，落地本标准要求，可实现三大核心价值：一是</w:t>
      </w:r>
      <w:r>
        <w:rPr>
          <w:rFonts w:eastAsia="等线" w:ascii="Arial" w:cs="Arial" w:hAnsi="Arial"/>
          <w:b w:val="true"/>
          <w:sz w:val="22"/>
        </w:rPr>
        <w:t>合规兜底</w:t>
      </w:r>
      <w:r>
        <w:rPr>
          <w:rFonts w:eastAsia="等线" w:ascii="Arial" w:cs="Arial" w:hAnsi="Arial"/>
          <w:sz w:val="22"/>
        </w:rPr>
        <w:t>，完美适配ISO22301、ISO27001体系认证及等保、网络安全法合规核查要求；二是</w:t>
      </w:r>
      <w:r>
        <w:rPr>
          <w:rFonts w:eastAsia="等线" w:ascii="Arial" w:cs="Arial" w:hAnsi="Arial"/>
          <w:b w:val="true"/>
          <w:sz w:val="22"/>
        </w:rPr>
        <w:t>风险可控</w:t>
      </w:r>
      <w:r>
        <w:rPr>
          <w:rFonts w:eastAsia="等线" w:ascii="Arial" w:cs="Arial" w:hAnsi="Arial"/>
          <w:sz w:val="22"/>
        </w:rPr>
        <w:t>，通过分级灾备保障核心业务不中断，数据不丢失；三是</w:t>
      </w:r>
      <w:r>
        <w:rPr>
          <w:rFonts w:eastAsia="等线" w:ascii="Arial" w:cs="Arial" w:hAnsi="Arial"/>
          <w:b w:val="true"/>
          <w:sz w:val="22"/>
        </w:rPr>
        <w:t>体系成熟</w:t>
      </w:r>
      <w:r>
        <w:rPr>
          <w:rFonts w:eastAsia="等线" w:ascii="Arial" w:cs="Arial" w:hAnsi="Arial"/>
          <w:sz w:val="22"/>
        </w:rPr>
        <w:t>，搭建PDCA闭环的IT灾备管理体系，实现常态化、规范化、可持续的业务连续性保障。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在当前勒索病毒频发、网络安全风险加剧、业务数字化高度集中的背景下，严格遵循ISO 27031:2011规范搭建IT灾备体系，是企业保障数字化业务稳定运行、筑牢信息安全底线的核心刚需。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1617">
    <w:lvl>
      <w:numFmt w:val="bullet"/>
      <w:suff w:val="tab"/>
      <w:lvlText w:val="•"/>
      <w:rPr>
        <w:color w:val="3370ff"/>
      </w:rPr>
    </w:lvl>
  </w:abstractNum>
  <w:abstractNum w:abstractNumId="281618">
    <w:lvl>
      <w:numFmt w:val="bullet"/>
      <w:suff w:val="tab"/>
      <w:lvlText w:val="•"/>
      <w:rPr>
        <w:color w:val="3370ff"/>
      </w:rPr>
    </w:lvl>
  </w:abstractNum>
  <w:abstractNum w:abstractNumId="281619">
    <w:lvl>
      <w:numFmt w:val="bullet"/>
      <w:suff w:val="tab"/>
      <w:lvlText w:val="•"/>
      <w:rPr>
        <w:color w:val="3370ff"/>
      </w:rPr>
    </w:lvl>
  </w:abstractNum>
  <w:abstractNum w:abstractNumId="281620">
    <w:lvl>
      <w:numFmt w:val="bullet"/>
      <w:suff w:val="tab"/>
      <w:lvlText w:val="•"/>
      <w:rPr>
        <w:color w:val="3370ff"/>
      </w:rPr>
    </w:lvl>
  </w:abstractNum>
  <w:abstractNum w:abstractNumId="281621">
    <w:lvl>
      <w:numFmt w:val="bullet"/>
      <w:suff w:val="tab"/>
      <w:lvlText w:val="•"/>
      <w:rPr>
        <w:color w:val="3370ff"/>
      </w:rPr>
    </w:lvl>
  </w:abstractNum>
  <w:abstractNum w:abstractNumId="281622">
    <w:lvl>
      <w:numFmt w:val="bullet"/>
      <w:suff w:val="tab"/>
      <w:lvlText w:val="•"/>
      <w:rPr>
        <w:color w:val="3370ff"/>
      </w:rPr>
    </w:lvl>
  </w:abstractNum>
  <w:abstractNum w:abstractNumId="281623">
    <w:lvl>
      <w:numFmt w:val="bullet"/>
      <w:suff w:val="tab"/>
      <w:lvlText w:val="•"/>
      <w:rPr>
        <w:color w:val="3370ff"/>
      </w:rPr>
    </w:lvl>
  </w:abstractNum>
  <w:abstractNum w:abstractNumId="281624">
    <w:lvl>
      <w:numFmt w:val="bullet"/>
      <w:suff w:val="tab"/>
      <w:lvlText w:val="•"/>
      <w:rPr>
        <w:color w:val="3370ff"/>
      </w:rPr>
    </w:lvl>
  </w:abstractNum>
  <w:abstractNum w:abstractNumId="281625">
    <w:lvl>
      <w:numFmt w:val="bullet"/>
      <w:suff w:val="tab"/>
      <w:lvlText w:val="•"/>
      <w:rPr>
        <w:color w:val="3370ff"/>
      </w:rPr>
    </w:lvl>
  </w:abstractNum>
  <w:abstractNum w:abstractNumId="281626">
    <w:lvl>
      <w:numFmt w:val="bullet"/>
      <w:suff w:val="tab"/>
      <w:lvlText w:val="•"/>
      <w:rPr>
        <w:color w:val="3370ff"/>
      </w:rPr>
    </w:lvl>
  </w:abstractNum>
  <w:abstractNum w:abstractNumId="281627">
    <w:lvl>
      <w:numFmt w:val="bullet"/>
      <w:suff w:val="tab"/>
      <w:lvlText w:val="•"/>
      <w:rPr>
        <w:color w:val="3370ff"/>
      </w:rPr>
    </w:lvl>
  </w:abstractNum>
  <w:abstractNum w:abstractNumId="281628">
    <w:lvl>
      <w:numFmt w:val="bullet"/>
      <w:suff w:val="tab"/>
      <w:lvlText w:val="•"/>
      <w:rPr>
        <w:color w:val="3370ff"/>
      </w:rPr>
    </w:lvl>
  </w:abstractNum>
  <w:abstractNum w:abstractNumId="281629">
    <w:lvl>
      <w:numFmt w:val="bullet"/>
      <w:suff w:val="tab"/>
      <w:lvlText w:val="•"/>
      <w:rPr>
        <w:color w:val="3370ff"/>
      </w:rPr>
    </w:lvl>
  </w:abstractNum>
  <w:abstractNum w:abstractNumId="281630">
    <w:lvl>
      <w:numFmt w:val="bullet"/>
      <w:suff w:val="tab"/>
      <w:lvlText w:val="•"/>
      <w:rPr>
        <w:color w:val="3370ff"/>
      </w:rPr>
    </w:lvl>
  </w:abstractNum>
  <w:abstractNum w:abstractNumId="281631">
    <w:lvl>
      <w:numFmt w:val="bullet"/>
      <w:suff w:val="tab"/>
      <w:lvlText w:val="•"/>
      <w:rPr>
        <w:color w:val="3370ff"/>
      </w:rPr>
    </w:lvl>
  </w:abstractNum>
  <w:abstractNum w:abstractNumId="281632">
    <w:lvl>
      <w:numFmt w:val="bullet"/>
      <w:suff w:val="tab"/>
      <w:lvlText w:val="•"/>
      <w:rPr>
        <w:color w:val="3370ff"/>
      </w:rPr>
    </w:lvl>
  </w:abstractNum>
  <w:abstractNum w:abstractNumId="281633">
    <w:lvl>
      <w:numFmt w:val="bullet"/>
      <w:suff w:val="tab"/>
      <w:lvlText w:val="•"/>
      <w:rPr>
        <w:color w:val="3370ff"/>
      </w:rPr>
    </w:lvl>
  </w:abstractNum>
  <w:abstractNum w:abstractNumId="281634">
    <w:lvl>
      <w:numFmt w:val="bullet"/>
      <w:suff w:val="tab"/>
      <w:lvlText w:val="•"/>
      <w:rPr>
        <w:color w:val="3370ff"/>
      </w:rPr>
    </w:lvl>
  </w:abstractNum>
  <w:abstractNum w:abstractNumId="281635">
    <w:lvl>
      <w:numFmt w:val="bullet"/>
      <w:suff w:val="tab"/>
      <w:lvlText w:val="•"/>
      <w:rPr>
        <w:color w:val="3370ff"/>
      </w:rPr>
    </w:lvl>
  </w:abstractNum>
  <w:abstractNum w:abstractNumId="281636">
    <w:lvl>
      <w:numFmt w:val="bullet"/>
      <w:suff w:val="tab"/>
      <w:lvlText w:val="•"/>
      <w:rPr>
        <w:color w:val="3370ff"/>
      </w:rPr>
    </w:lvl>
  </w:abstractNum>
  <w:abstractNum w:abstractNumId="281637">
    <w:lvl>
      <w:numFmt w:val="bullet"/>
      <w:suff w:val="tab"/>
      <w:lvlText w:val="•"/>
      <w:rPr>
        <w:color w:val="3370ff"/>
      </w:rPr>
    </w:lvl>
  </w:abstractNum>
  <w:abstractNum w:abstractNumId="281638">
    <w:lvl>
      <w:numFmt w:val="bullet"/>
      <w:suff w:val="tab"/>
      <w:lvlText w:val="•"/>
      <w:rPr>
        <w:color w:val="3370ff"/>
      </w:rPr>
    </w:lvl>
  </w:abstractNum>
  <w:abstractNum w:abstractNumId="281639">
    <w:lvl>
      <w:numFmt w:val="bullet"/>
      <w:suff w:val="tab"/>
      <w:lvlText w:val="•"/>
      <w:rPr>
        <w:color w:val="3370ff"/>
      </w:rPr>
    </w:lvl>
  </w:abstractNum>
  <w:abstractNum w:abstractNumId="281640">
    <w:lvl>
      <w:numFmt w:val="bullet"/>
      <w:suff w:val="tab"/>
      <w:lvlText w:val="•"/>
      <w:rPr>
        <w:color w:val="3370ff"/>
      </w:rPr>
    </w:lvl>
  </w:abstractNum>
  <w:abstractNum w:abstractNumId="281641">
    <w:lvl>
      <w:numFmt w:val="bullet"/>
      <w:suff w:val="tab"/>
      <w:lvlText w:val="•"/>
      <w:rPr>
        <w:color w:val="3370ff"/>
      </w:rPr>
    </w:lvl>
  </w:abstractNum>
  <w:abstractNum w:abstractNumId="281642">
    <w:lvl>
      <w:numFmt w:val="bullet"/>
      <w:suff w:val="tab"/>
      <w:lvlText w:val="•"/>
      <w:rPr>
        <w:color w:val="3370ff"/>
      </w:rPr>
    </w:lvl>
  </w:abstractNum>
  <w:abstractNum w:abstractNumId="281643">
    <w:lvl>
      <w:numFmt w:val="bullet"/>
      <w:suff w:val="tab"/>
      <w:lvlText w:val="•"/>
      <w:rPr>
        <w:color w:val="3370ff"/>
      </w:rPr>
    </w:lvl>
  </w:abstractNum>
  <w:abstractNum w:abstractNumId="281644">
    <w:lvl>
      <w:numFmt w:val="bullet"/>
      <w:suff w:val="tab"/>
      <w:lvlText w:val="•"/>
      <w:rPr>
        <w:color w:val="3370ff"/>
      </w:rPr>
    </w:lvl>
  </w:abstractNum>
  <w:abstractNum w:abstractNumId="281645">
    <w:lvl>
      <w:numFmt w:val="bullet"/>
      <w:suff w:val="tab"/>
      <w:lvlText w:val="•"/>
      <w:rPr>
        <w:color w:val="3370ff"/>
      </w:rPr>
    </w:lvl>
  </w:abstractNum>
  <w:abstractNum w:abstractNumId="281646">
    <w:lvl>
      <w:numFmt w:val="bullet"/>
      <w:suff w:val="tab"/>
      <w:lvlText w:val="•"/>
      <w:rPr>
        <w:color w:val="3370ff"/>
      </w:rPr>
    </w:lvl>
  </w:abstractNum>
  <w:abstractNum w:abstractNumId="281647">
    <w:lvl>
      <w:numFmt w:val="bullet"/>
      <w:suff w:val="tab"/>
      <w:lvlText w:val="•"/>
      <w:rPr>
        <w:color w:val="3370ff"/>
      </w:rPr>
    </w:lvl>
  </w:abstractNum>
  <w:abstractNum w:abstractNumId="281648">
    <w:lvl>
      <w:numFmt w:val="bullet"/>
      <w:suff w:val="tab"/>
      <w:lvlText w:val="•"/>
      <w:rPr>
        <w:color w:val="3370ff"/>
      </w:rPr>
    </w:lvl>
  </w:abstractNum>
  <w:abstractNum w:abstractNumId="281649">
    <w:lvl>
      <w:numFmt w:val="bullet"/>
      <w:suff w:val="tab"/>
      <w:lvlText w:val="•"/>
      <w:rPr>
        <w:color w:val="3370ff"/>
      </w:rPr>
    </w:lvl>
  </w:abstractNum>
  <w:abstractNum w:abstractNumId="281650">
    <w:lvl>
      <w:numFmt w:val="bullet"/>
      <w:suff w:val="tab"/>
      <w:lvlText w:val="•"/>
      <w:rPr>
        <w:color w:val="3370ff"/>
      </w:rPr>
    </w:lvl>
  </w:abstractNum>
  <w:abstractNum w:abstractNumId="281651">
    <w:lvl>
      <w:numFmt w:val="bullet"/>
      <w:suff w:val="tab"/>
      <w:lvlText w:val="•"/>
      <w:rPr>
        <w:color w:val="3370ff"/>
      </w:rPr>
    </w:lvl>
  </w:abstractNum>
  <w:abstractNum w:abstractNumId="281652">
    <w:lvl>
      <w:numFmt w:val="bullet"/>
      <w:suff w:val="tab"/>
      <w:lvlText w:val="•"/>
      <w:rPr>
        <w:color w:val="3370ff"/>
      </w:rPr>
    </w:lvl>
  </w:abstractNum>
  <w:abstractNum w:abstractNumId="281653">
    <w:lvl>
      <w:numFmt w:val="bullet"/>
      <w:suff w:val="tab"/>
      <w:lvlText w:val="•"/>
      <w:rPr>
        <w:color w:val="3370ff"/>
      </w:rPr>
    </w:lvl>
  </w:abstractNum>
  <w:abstractNum w:abstractNumId="281654">
    <w:lvl>
      <w:numFmt w:val="bullet"/>
      <w:suff w:val="tab"/>
      <w:lvlText w:val="•"/>
      <w:rPr>
        <w:color w:val="3370ff"/>
      </w:rPr>
    </w:lvl>
  </w:abstractNum>
  <w:abstractNum w:abstractNumId="281655">
    <w:lvl>
      <w:numFmt w:val="bullet"/>
      <w:suff w:val="tab"/>
      <w:lvlText w:val="•"/>
      <w:rPr>
        <w:color w:val="3370ff"/>
      </w:rPr>
    </w:lvl>
  </w:abstractNum>
  <w:abstractNum w:abstractNumId="281656">
    <w:lvl>
      <w:numFmt w:val="bullet"/>
      <w:suff w:val="tab"/>
      <w:lvlText w:val="•"/>
      <w:rPr>
        <w:color w:val="3370ff"/>
      </w:rPr>
    </w:lvl>
  </w:abstractNum>
  <w:abstractNum w:abstractNumId="281657">
    <w:lvl>
      <w:numFmt w:val="bullet"/>
      <w:suff w:val="tab"/>
      <w:lvlText w:val="•"/>
      <w:rPr>
        <w:color w:val="3370ff"/>
      </w:rPr>
    </w:lvl>
  </w:abstractNum>
  <w:abstractNum w:abstractNumId="281658">
    <w:lvl>
      <w:numFmt w:val="bullet"/>
      <w:suff w:val="tab"/>
      <w:lvlText w:val="•"/>
      <w:rPr>
        <w:color w:val="3370ff"/>
      </w:rPr>
    </w:lvl>
  </w:abstractNum>
  <w:abstractNum w:abstractNumId="281659">
    <w:lvl>
      <w:numFmt w:val="bullet"/>
      <w:suff w:val="tab"/>
      <w:lvlText w:val="•"/>
      <w:rPr>
        <w:color w:val="3370ff"/>
      </w:rPr>
    </w:lvl>
  </w:abstractNum>
  <w:abstractNum w:abstractNumId="281660">
    <w:lvl>
      <w:numFmt w:val="bullet"/>
      <w:suff w:val="tab"/>
      <w:lvlText w:val="•"/>
      <w:rPr>
        <w:color w:val="3370ff"/>
      </w:rPr>
    </w:lvl>
  </w:abstractNum>
  <w:abstractNum w:abstractNumId="281661">
    <w:lvl>
      <w:numFmt w:val="bullet"/>
      <w:suff w:val="tab"/>
      <w:lvlText w:val="•"/>
      <w:rPr>
        <w:color w:val="3370ff"/>
      </w:rPr>
    </w:lvl>
  </w:abstractNum>
  <w:abstractNum w:abstractNumId="281662">
    <w:lvl>
      <w:numFmt w:val="bullet"/>
      <w:suff w:val="tab"/>
      <w:lvlText w:val="•"/>
      <w:rPr>
        <w:color w:val="3370ff"/>
      </w:rPr>
    </w:lvl>
  </w:abstractNum>
  <w:abstractNum w:abstractNumId="281663">
    <w:lvl>
      <w:numFmt w:val="bullet"/>
      <w:suff w:val="tab"/>
      <w:lvlText w:val="•"/>
      <w:rPr>
        <w:color w:val="3370ff"/>
      </w:rPr>
    </w:lvl>
  </w:abstractNum>
  <w:abstractNum w:abstractNumId="281664">
    <w:lvl>
      <w:numFmt w:val="bullet"/>
      <w:suff w:val="tab"/>
      <w:lvlText w:val="•"/>
      <w:rPr>
        <w:color w:val="3370ff"/>
      </w:rPr>
    </w:lvl>
  </w:abstractNum>
  <w:abstractNum w:abstractNumId="281665">
    <w:lvl>
      <w:numFmt w:val="bullet"/>
      <w:suff w:val="tab"/>
      <w:lvlText w:val="•"/>
      <w:rPr>
        <w:color w:val="3370ff"/>
      </w:rPr>
    </w:lvl>
  </w:abstractNum>
  <w:abstractNum w:abstractNumId="281666">
    <w:lvl>
      <w:numFmt w:val="bullet"/>
      <w:suff w:val="tab"/>
      <w:lvlText w:val="•"/>
      <w:rPr>
        <w:color w:val="3370ff"/>
      </w:rPr>
    </w:lvl>
  </w:abstractNum>
  <w:abstractNum w:abstractNumId="281667">
    <w:lvl>
      <w:numFmt w:val="bullet"/>
      <w:suff w:val="tab"/>
      <w:lvlText w:val="•"/>
      <w:rPr>
        <w:color w:val="3370ff"/>
      </w:rPr>
    </w:lvl>
  </w:abstractNum>
  <w:abstractNum w:abstractNumId="281668">
    <w:lvl>
      <w:numFmt w:val="bullet"/>
      <w:suff w:val="tab"/>
      <w:lvlText w:val="•"/>
      <w:rPr>
        <w:color w:val="3370ff"/>
      </w:rPr>
    </w:lvl>
  </w:abstractNum>
  <w:abstractNum w:abstractNumId="281669">
    <w:lvl>
      <w:numFmt w:val="bullet"/>
      <w:suff w:val="tab"/>
      <w:lvlText w:val="•"/>
      <w:rPr>
        <w:color w:val="3370ff"/>
      </w:rPr>
    </w:lvl>
  </w:abstractNum>
  <w:num w:numId="1">
    <w:abstractNumId w:val="281617"/>
  </w:num>
  <w:num w:numId="2">
    <w:abstractNumId w:val="281618"/>
  </w:num>
  <w:num w:numId="3">
    <w:abstractNumId w:val="281619"/>
  </w:num>
  <w:num w:numId="4">
    <w:abstractNumId w:val="281620"/>
  </w:num>
  <w:num w:numId="5">
    <w:abstractNumId w:val="281621"/>
  </w:num>
  <w:num w:numId="6">
    <w:abstractNumId w:val="281622"/>
  </w:num>
  <w:num w:numId="7">
    <w:abstractNumId w:val="281623"/>
  </w:num>
  <w:num w:numId="8">
    <w:abstractNumId w:val="281624"/>
  </w:num>
  <w:num w:numId="9">
    <w:abstractNumId w:val="281625"/>
  </w:num>
  <w:num w:numId="10">
    <w:abstractNumId w:val="281626"/>
  </w:num>
  <w:num w:numId="11">
    <w:abstractNumId w:val="281627"/>
  </w:num>
  <w:num w:numId="12">
    <w:abstractNumId w:val="281628"/>
  </w:num>
  <w:num w:numId="13">
    <w:abstractNumId w:val="281629"/>
  </w:num>
  <w:num w:numId="14">
    <w:abstractNumId w:val="281630"/>
  </w:num>
  <w:num w:numId="15">
    <w:abstractNumId w:val="281631"/>
  </w:num>
  <w:num w:numId="16">
    <w:abstractNumId w:val="281632"/>
  </w:num>
  <w:num w:numId="17">
    <w:abstractNumId w:val="281633"/>
  </w:num>
  <w:num w:numId="18">
    <w:abstractNumId w:val="281634"/>
  </w:num>
  <w:num w:numId="19">
    <w:abstractNumId w:val="281635"/>
  </w:num>
  <w:num w:numId="20">
    <w:abstractNumId w:val="281636"/>
  </w:num>
  <w:num w:numId="21">
    <w:abstractNumId w:val="281637"/>
  </w:num>
  <w:num w:numId="22">
    <w:abstractNumId w:val="281638"/>
  </w:num>
  <w:num w:numId="23">
    <w:abstractNumId w:val="281639"/>
  </w:num>
  <w:num w:numId="24">
    <w:abstractNumId w:val="281640"/>
  </w:num>
  <w:num w:numId="25">
    <w:abstractNumId w:val="281641"/>
  </w:num>
  <w:num w:numId="26">
    <w:abstractNumId w:val="281642"/>
  </w:num>
  <w:num w:numId="27">
    <w:abstractNumId w:val="281643"/>
  </w:num>
  <w:num w:numId="28">
    <w:abstractNumId w:val="281644"/>
  </w:num>
  <w:num w:numId="29">
    <w:abstractNumId w:val="281645"/>
  </w:num>
  <w:num w:numId="30">
    <w:abstractNumId w:val="281646"/>
  </w:num>
  <w:num w:numId="31">
    <w:abstractNumId w:val="281647"/>
  </w:num>
  <w:num w:numId="32">
    <w:abstractNumId w:val="281648"/>
  </w:num>
  <w:num w:numId="33">
    <w:abstractNumId w:val="281649"/>
  </w:num>
  <w:num w:numId="34">
    <w:abstractNumId w:val="281650"/>
  </w:num>
  <w:num w:numId="35">
    <w:abstractNumId w:val="281651"/>
  </w:num>
  <w:num w:numId="36">
    <w:abstractNumId w:val="281652"/>
  </w:num>
  <w:num w:numId="37">
    <w:abstractNumId w:val="281653"/>
  </w:num>
  <w:num w:numId="38">
    <w:abstractNumId w:val="281654"/>
  </w:num>
  <w:num w:numId="39">
    <w:abstractNumId w:val="281655"/>
  </w:num>
  <w:num w:numId="40">
    <w:abstractNumId w:val="281656"/>
  </w:num>
  <w:num w:numId="41">
    <w:abstractNumId w:val="281657"/>
  </w:num>
  <w:num w:numId="42">
    <w:abstractNumId w:val="281658"/>
  </w:num>
  <w:num w:numId="43">
    <w:abstractNumId w:val="281659"/>
  </w:num>
  <w:num w:numId="44">
    <w:abstractNumId w:val="281660"/>
  </w:num>
  <w:num w:numId="45">
    <w:abstractNumId w:val="281661"/>
  </w:num>
  <w:num w:numId="46">
    <w:abstractNumId w:val="281662"/>
  </w:num>
  <w:num w:numId="47">
    <w:abstractNumId w:val="281663"/>
  </w:num>
  <w:num w:numId="48">
    <w:abstractNumId w:val="281664"/>
  </w:num>
  <w:num w:numId="49">
    <w:abstractNumId w:val="281665"/>
  </w:num>
  <w:num w:numId="50">
    <w:abstractNumId w:val="281666"/>
  </w:num>
  <w:num w:numId="51">
    <w:abstractNumId w:val="281667"/>
  </w:num>
  <w:num w:numId="52">
    <w:abstractNumId w:val="281668"/>
  </w:num>
  <w:num w:numId="53">
    <w:abstractNumId w:val="2816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2026-06-02T09:32:35Z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{"Label":"1","ContentProducer":"001191110102MACQD9K64010000","ProduceID":"7646728639985044717","ReservedCode1":"","ContentPropagator":"","PropagateID":"","ReservedCode2":""}</vt:lpwstr>
  </property>
</Properties>
</file>