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0AC2" w14:textId="032E7700" w:rsidR="000D71B4" w:rsidRDefault="000D71B4" w:rsidP="000D71B4">
      <w:pPr>
        <w:pStyle w:val="Title"/>
      </w:pPr>
      <w:r>
        <w:t>Appendix 1 – design criteria (3 datasets)</w:t>
      </w:r>
    </w:p>
    <w:p w14:paraId="2073E871" w14:textId="77777777" w:rsidR="000D71B4" w:rsidRDefault="000D71B4" w:rsidP="009F2080">
      <w:pPr>
        <w:pStyle w:val="Heading2"/>
      </w:pPr>
    </w:p>
    <w:p w14:paraId="040AEDA1" w14:textId="0E45A266" w:rsidR="009F2080" w:rsidRDefault="009F2080" w:rsidP="009F2080">
      <w:pPr>
        <w:pStyle w:val="Heading2"/>
      </w:pPr>
      <w:r>
        <w:t xml:space="preserve">Dataset 1: social aspirations of communities </w:t>
      </w:r>
    </w:p>
    <w:p w14:paraId="324AE3F9" w14:textId="77777777" w:rsidR="009F2080" w:rsidRDefault="009F2080" w:rsidP="009F2080">
      <w:r>
        <w:t>The first set includes data about social behaviour (habits), values, expectations and aspirations of urban communities. Data come from several UK governmental reports and published studies.</w:t>
      </w:r>
    </w:p>
    <w:p w14:paraId="7E18A0EB" w14:textId="77777777" w:rsidR="009F2080" w:rsidRDefault="009F2080" w:rsidP="009F2080"/>
    <w:tbl>
      <w:tblPr>
        <w:tblStyle w:val="TableGrid"/>
        <w:tblW w:w="0" w:type="auto"/>
        <w:tblLook w:val="04A0" w:firstRow="1" w:lastRow="0" w:firstColumn="1" w:lastColumn="0" w:noHBand="0" w:noVBand="1"/>
      </w:tblPr>
      <w:tblGrid>
        <w:gridCol w:w="444"/>
        <w:gridCol w:w="1769"/>
        <w:gridCol w:w="1344"/>
        <w:gridCol w:w="866"/>
        <w:gridCol w:w="614"/>
        <w:gridCol w:w="2848"/>
        <w:gridCol w:w="1131"/>
      </w:tblGrid>
      <w:tr w:rsidR="009F2080" w14:paraId="4F9CE8AA" w14:textId="77777777" w:rsidTr="00020B31">
        <w:tc>
          <w:tcPr>
            <w:tcW w:w="421" w:type="dxa"/>
            <w:shd w:val="clear" w:color="auto" w:fill="4472C4" w:themeFill="accent1"/>
          </w:tcPr>
          <w:p w14:paraId="11E252EE" w14:textId="77777777" w:rsidR="009F2080" w:rsidRPr="00AF0150" w:rsidRDefault="009F2080" w:rsidP="00020B31">
            <w:pPr>
              <w:rPr>
                <w:b/>
                <w:bCs/>
              </w:rPr>
            </w:pPr>
          </w:p>
        </w:tc>
        <w:tc>
          <w:tcPr>
            <w:tcW w:w="1776" w:type="dxa"/>
            <w:shd w:val="clear" w:color="auto" w:fill="4472C4" w:themeFill="accent1"/>
          </w:tcPr>
          <w:p w14:paraId="32943C2B" w14:textId="77777777" w:rsidR="009F2080" w:rsidRPr="00AF0150" w:rsidRDefault="009F2080" w:rsidP="00020B31">
            <w:pPr>
              <w:rPr>
                <w:b/>
                <w:bCs/>
              </w:rPr>
            </w:pPr>
            <w:r w:rsidRPr="00AF0150">
              <w:rPr>
                <w:b/>
                <w:bCs/>
              </w:rPr>
              <w:t>Report</w:t>
            </w:r>
          </w:p>
        </w:tc>
        <w:tc>
          <w:tcPr>
            <w:tcW w:w="1345" w:type="dxa"/>
            <w:shd w:val="clear" w:color="auto" w:fill="4472C4" w:themeFill="accent1"/>
          </w:tcPr>
          <w:p w14:paraId="7BD510F0" w14:textId="77777777" w:rsidR="009F2080" w:rsidRPr="00AF0150" w:rsidRDefault="009F2080" w:rsidP="00020B31">
            <w:pPr>
              <w:rPr>
                <w:b/>
                <w:bCs/>
              </w:rPr>
            </w:pPr>
            <w:r w:rsidRPr="00AF0150">
              <w:rPr>
                <w:b/>
                <w:bCs/>
              </w:rPr>
              <w:t>Published by</w:t>
            </w:r>
          </w:p>
        </w:tc>
        <w:tc>
          <w:tcPr>
            <w:tcW w:w="866" w:type="dxa"/>
            <w:shd w:val="clear" w:color="auto" w:fill="4472C4" w:themeFill="accent1"/>
          </w:tcPr>
          <w:p w14:paraId="37F7C6CB" w14:textId="77777777" w:rsidR="009F2080" w:rsidRPr="00AF0150" w:rsidRDefault="009F2080" w:rsidP="00020B31">
            <w:pPr>
              <w:rPr>
                <w:b/>
                <w:bCs/>
              </w:rPr>
            </w:pPr>
            <w:r w:rsidRPr="00AF0150">
              <w:rPr>
                <w:b/>
                <w:bCs/>
              </w:rPr>
              <w:t>Last update</w:t>
            </w:r>
          </w:p>
        </w:tc>
        <w:tc>
          <w:tcPr>
            <w:tcW w:w="614" w:type="dxa"/>
            <w:shd w:val="clear" w:color="auto" w:fill="4472C4" w:themeFill="accent1"/>
          </w:tcPr>
          <w:p w14:paraId="37921A1C" w14:textId="77777777" w:rsidR="009F2080" w:rsidRPr="00AF0150" w:rsidRDefault="009F2080" w:rsidP="00020B31">
            <w:pPr>
              <w:rPr>
                <w:b/>
                <w:bCs/>
              </w:rPr>
            </w:pPr>
            <w:r w:rsidRPr="00AF0150">
              <w:rPr>
                <w:b/>
                <w:bCs/>
              </w:rPr>
              <w:t>URL</w:t>
            </w:r>
          </w:p>
        </w:tc>
        <w:tc>
          <w:tcPr>
            <w:tcW w:w="2863" w:type="dxa"/>
            <w:shd w:val="clear" w:color="auto" w:fill="4472C4" w:themeFill="accent1"/>
          </w:tcPr>
          <w:p w14:paraId="7B007F22" w14:textId="77777777" w:rsidR="009F2080" w:rsidRPr="00AF0150" w:rsidRDefault="009F2080" w:rsidP="00020B31">
            <w:pPr>
              <w:rPr>
                <w:b/>
                <w:bCs/>
              </w:rPr>
            </w:pPr>
          </w:p>
        </w:tc>
        <w:tc>
          <w:tcPr>
            <w:tcW w:w="1131" w:type="dxa"/>
            <w:shd w:val="clear" w:color="auto" w:fill="4472C4" w:themeFill="accent1"/>
          </w:tcPr>
          <w:p w14:paraId="5D1A28D2" w14:textId="77777777" w:rsidR="009F2080" w:rsidRPr="00AF0150" w:rsidRDefault="009F2080" w:rsidP="00020B31">
            <w:pPr>
              <w:rPr>
                <w:b/>
                <w:bCs/>
              </w:rPr>
            </w:pPr>
            <w:r w:rsidRPr="00AF0150">
              <w:rPr>
                <w:b/>
                <w:bCs/>
              </w:rPr>
              <w:t>Data collection method</w:t>
            </w:r>
          </w:p>
        </w:tc>
      </w:tr>
      <w:tr w:rsidR="009F2080" w:rsidRPr="00024FA9" w14:paraId="229AEFF6" w14:textId="77777777" w:rsidTr="00020B31">
        <w:tc>
          <w:tcPr>
            <w:tcW w:w="421" w:type="dxa"/>
          </w:tcPr>
          <w:p w14:paraId="51969C92" w14:textId="77777777" w:rsidR="009F2080" w:rsidRPr="00024FA9" w:rsidRDefault="009F2080" w:rsidP="00020B31">
            <w:pPr>
              <w:rPr>
                <w:sz w:val="18"/>
                <w:szCs w:val="18"/>
              </w:rPr>
            </w:pPr>
            <w:r>
              <w:rPr>
                <w:sz w:val="18"/>
                <w:szCs w:val="18"/>
              </w:rPr>
              <w:t>1.1</w:t>
            </w:r>
          </w:p>
        </w:tc>
        <w:tc>
          <w:tcPr>
            <w:tcW w:w="1776" w:type="dxa"/>
          </w:tcPr>
          <w:p w14:paraId="1A016C93" w14:textId="77777777" w:rsidR="009F2080" w:rsidRPr="00024FA9" w:rsidRDefault="009F2080" w:rsidP="00020B31">
            <w:pPr>
              <w:rPr>
                <w:sz w:val="18"/>
                <w:szCs w:val="18"/>
              </w:rPr>
            </w:pPr>
            <w:r w:rsidRPr="00024FA9">
              <w:rPr>
                <w:sz w:val="18"/>
                <w:szCs w:val="18"/>
              </w:rPr>
              <w:t>Community Life Survey - London summary</w:t>
            </w:r>
          </w:p>
        </w:tc>
        <w:tc>
          <w:tcPr>
            <w:tcW w:w="1345" w:type="dxa"/>
          </w:tcPr>
          <w:p w14:paraId="43AF0D95" w14:textId="77777777" w:rsidR="009F2080" w:rsidRPr="00024FA9" w:rsidRDefault="009F2080" w:rsidP="00020B31">
            <w:pPr>
              <w:rPr>
                <w:sz w:val="18"/>
                <w:szCs w:val="18"/>
              </w:rPr>
            </w:pPr>
            <w:r w:rsidRPr="00024FA9">
              <w:rPr>
                <w:sz w:val="18"/>
                <w:szCs w:val="18"/>
              </w:rPr>
              <w:t xml:space="preserve">Greater London Authority </w:t>
            </w:r>
          </w:p>
        </w:tc>
        <w:tc>
          <w:tcPr>
            <w:tcW w:w="866" w:type="dxa"/>
          </w:tcPr>
          <w:p w14:paraId="2DA8E03A" w14:textId="77777777" w:rsidR="009F2080" w:rsidRPr="00024FA9" w:rsidRDefault="009F2080" w:rsidP="00020B31">
            <w:pPr>
              <w:rPr>
                <w:sz w:val="18"/>
                <w:szCs w:val="18"/>
              </w:rPr>
            </w:pPr>
            <w:r w:rsidRPr="00024FA9">
              <w:rPr>
                <w:sz w:val="18"/>
                <w:szCs w:val="18"/>
              </w:rPr>
              <w:t>2021</w:t>
            </w:r>
          </w:p>
        </w:tc>
        <w:tc>
          <w:tcPr>
            <w:tcW w:w="614" w:type="dxa"/>
          </w:tcPr>
          <w:p w14:paraId="42AED568" w14:textId="77777777" w:rsidR="009F2080" w:rsidRPr="00024FA9" w:rsidRDefault="00D047F3" w:rsidP="00020B31">
            <w:pPr>
              <w:rPr>
                <w:sz w:val="18"/>
                <w:szCs w:val="18"/>
              </w:rPr>
            </w:pPr>
            <w:hyperlink r:id="rId5" w:history="1">
              <w:r w:rsidR="009F2080" w:rsidRPr="00024FA9">
                <w:rPr>
                  <w:rStyle w:val="Hyperlink"/>
                  <w:sz w:val="18"/>
                  <w:szCs w:val="18"/>
                </w:rPr>
                <w:t>link</w:t>
              </w:r>
            </w:hyperlink>
          </w:p>
        </w:tc>
        <w:tc>
          <w:tcPr>
            <w:tcW w:w="2863" w:type="dxa"/>
          </w:tcPr>
          <w:p w14:paraId="483DC36F" w14:textId="77777777" w:rsidR="009F2080" w:rsidRPr="00024FA9" w:rsidRDefault="009F2080" w:rsidP="00020B31">
            <w:pPr>
              <w:rPr>
                <w:sz w:val="18"/>
                <w:szCs w:val="18"/>
              </w:rPr>
            </w:pPr>
            <w:r w:rsidRPr="00024FA9">
              <w:rPr>
                <w:sz w:val="18"/>
                <w:szCs w:val="18"/>
              </w:rPr>
              <w:t>The Community Life survey is a household self-completion survey of adults aged 16+ in England. The survey provides evidence on social cohesion, community engagement and social action (City Intelligence Unit, GLA 2021)</w:t>
            </w:r>
          </w:p>
        </w:tc>
        <w:tc>
          <w:tcPr>
            <w:tcW w:w="1131" w:type="dxa"/>
          </w:tcPr>
          <w:p w14:paraId="047F4C33" w14:textId="77777777" w:rsidR="009F2080" w:rsidRPr="00024FA9" w:rsidRDefault="009F2080" w:rsidP="00020B31">
            <w:pPr>
              <w:rPr>
                <w:sz w:val="18"/>
                <w:szCs w:val="18"/>
              </w:rPr>
            </w:pPr>
            <w:r w:rsidRPr="00024FA9">
              <w:rPr>
                <w:sz w:val="18"/>
                <w:szCs w:val="18"/>
              </w:rPr>
              <w:t>survey</w:t>
            </w:r>
          </w:p>
        </w:tc>
      </w:tr>
      <w:tr w:rsidR="009F2080" w:rsidRPr="00024FA9" w14:paraId="3A15EF7E" w14:textId="77777777" w:rsidTr="00020B31">
        <w:tc>
          <w:tcPr>
            <w:tcW w:w="421" w:type="dxa"/>
          </w:tcPr>
          <w:p w14:paraId="2CF46305" w14:textId="77777777" w:rsidR="009F2080" w:rsidRPr="00024FA9" w:rsidRDefault="009F2080" w:rsidP="00020B31">
            <w:pPr>
              <w:rPr>
                <w:sz w:val="18"/>
                <w:szCs w:val="18"/>
              </w:rPr>
            </w:pPr>
            <w:r>
              <w:rPr>
                <w:sz w:val="18"/>
                <w:szCs w:val="18"/>
              </w:rPr>
              <w:t>1.2</w:t>
            </w:r>
          </w:p>
        </w:tc>
        <w:tc>
          <w:tcPr>
            <w:tcW w:w="1776" w:type="dxa"/>
          </w:tcPr>
          <w:p w14:paraId="36878890" w14:textId="77777777" w:rsidR="009F2080" w:rsidRPr="00024FA9" w:rsidRDefault="009F2080" w:rsidP="00020B31">
            <w:pPr>
              <w:rPr>
                <w:sz w:val="18"/>
                <w:szCs w:val="18"/>
              </w:rPr>
            </w:pPr>
            <w:r w:rsidRPr="00024FA9">
              <w:rPr>
                <w:sz w:val="18"/>
                <w:szCs w:val="18"/>
              </w:rPr>
              <w:t>Equality, diversity and inclusion evidence base for London</w:t>
            </w:r>
          </w:p>
        </w:tc>
        <w:tc>
          <w:tcPr>
            <w:tcW w:w="1345" w:type="dxa"/>
          </w:tcPr>
          <w:p w14:paraId="088EDCAD" w14:textId="77777777" w:rsidR="009F2080" w:rsidRPr="00024FA9" w:rsidRDefault="009F2080" w:rsidP="00020B31">
            <w:pPr>
              <w:rPr>
                <w:sz w:val="18"/>
                <w:szCs w:val="18"/>
              </w:rPr>
            </w:pPr>
            <w:r w:rsidRPr="00024FA9">
              <w:rPr>
                <w:sz w:val="18"/>
                <w:szCs w:val="18"/>
              </w:rPr>
              <w:t>Greater London Authority. GLA Intelligence</w:t>
            </w:r>
          </w:p>
        </w:tc>
        <w:tc>
          <w:tcPr>
            <w:tcW w:w="866" w:type="dxa"/>
          </w:tcPr>
          <w:p w14:paraId="6BB47C96" w14:textId="77777777" w:rsidR="009F2080" w:rsidRPr="00024FA9" w:rsidRDefault="009F2080" w:rsidP="00020B31">
            <w:pPr>
              <w:rPr>
                <w:sz w:val="18"/>
                <w:szCs w:val="18"/>
              </w:rPr>
            </w:pPr>
            <w:r w:rsidRPr="00024FA9">
              <w:rPr>
                <w:sz w:val="18"/>
                <w:szCs w:val="18"/>
              </w:rPr>
              <w:t>2019</w:t>
            </w:r>
          </w:p>
        </w:tc>
        <w:tc>
          <w:tcPr>
            <w:tcW w:w="614" w:type="dxa"/>
          </w:tcPr>
          <w:p w14:paraId="061C78FD" w14:textId="77777777" w:rsidR="009F2080" w:rsidRPr="00024FA9" w:rsidRDefault="00D047F3" w:rsidP="00020B31">
            <w:pPr>
              <w:rPr>
                <w:sz w:val="18"/>
                <w:szCs w:val="18"/>
              </w:rPr>
            </w:pPr>
            <w:hyperlink r:id="rId6" w:history="1">
              <w:r w:rsidR="009F2080" w:rsidRPr="00024FA9">
                <w:rPr>
                  <w:rStyle w:val="Hyperlink"/>
                  <w:sz w:val="18"/>
                  <w:szCs w:val="18"/>
                </w:rPr>
                <w:t>link</w:t>
              </w:r>
            </w:hyperlink>
          </w:p>
          <w:p w14:paraId="0D5A2402" w14:textId="77777777" w:rsidR="009F2080" w:rsidRPr="00024FA9" w:rsidRDefault="00D047F3" w:rsidP="00020B31">
            <w:pPr>
              <w:rPr>
                <w:sz w:val="18"/>
                <w:szCs w:val="18"/>
              </w:rPr>
            </w:pPr>
            <w:hyperlink r:id="rId7" w:history="1">
              <w:r w:rsidR="009F2080" w:rsidRPr="00024FA9">
                <w:rPr>
                  <w:rStyle w:val="Hyperlink"/>
                  <w:sz w:val="18"/>
                  <w:szCs w:val="18"/>
                </w:rPr>
                <w:t>link</w:t>
              </w:r>
            </w:hyperlink>
          </w:p>
        </w:tc>
        <w:tc>
          <w:tcPr>
            <w:tcW w:w="2863" w:type="dxa"/>
          </w:tcPr>
          <w:p w14:paraId="562406A4" w14:textId="77777777" w:rsidR="009F2080" w:rsidRPr="00024FA9" w:rsidRDefault="009F2080" w:rsidP="00020B31">
            <w:pPr>
              <w:rPr>
                <w:sz w:val="18"/>
                <w:szCs w:val="18"/>
              </w:rPr>
            </w:pPr>
            <w:r w:rsidRPr="00024FA9">
              <w:rPr>
                <w:sz w:val="18"/>
                <w:szCs w:val="18"/>
              </w:rPr>
              <w:t>This dataset supports the Mayor's equality, diversity and inclusion strategy. It brings together publicly available data relevant to equalities in London into a series of measures. (City Intelligence Unit, GLA 2019)</w:t>
            </w:r>
          </w:p>
        </w:tc>
        <w:tc>
          <w:tcPr>
            <w:tcW w:w="1131" w:type="dxa"/>
          </w:tcPr>
          <w:p w14:paraId="3F1F97F9" w14:textId="77777777" w:rsidR="009F2080" w:rsidRPr="00024FA9" w:rsidRDefault="009F2080" w:rsidP="00020B31">
            <w:pPr>
              <w:rPr>
                <w:sz w:val="18"/>
                <w:szCs w:val="18"/>
              </w:rPr>
            </w:pPr>
            <w:r w:rsidRPr="00024FA9">
              <w:rPr>
                <w:sz w:val="18"/>
                <w:szCs w:val="18"/>
              </w:rPr>
              <w:t>survey</w:t>
            </w:r>
          </w:p>
        </w:tc>
      </w:tr>
      <w:tr w:rsidR="009F2080" w:rsidRPr="00024FA9" w14:paraId="70981CE6" w14:textId="77777777" w:rsidTr="00020B31">
        <w:tc>
          <w:tcPr>
            <w:tcW w:w="421" w:type="dxa"/>
          </w:tcPr>
          <w:p w14:paraId="76918BE9" w14:textId="77777777" w:rsidR="009F2080" w:rsidRPr="00024FA9" w:rsidRDefault="009F2080" w:rsidP="00020B31">
            <w:pPr>
              <w:rPr>
                <w:sz w:val="18"/>
                <w:szCs w:val="18"/>
              </w:rPr>
            </w:pPr>
            <w:r>
              <w:rPr>
                <w:sz w:val="18"/>
                <w:szCs w:val="18"/>
              </w:rPr>
              <w:t>1.3</w:t>
            </w:r>
          </w:p>
        </w:tc>
        <w:tc>
          <w:tcPr>
            <w:tcW w:w="1776" w:type="dxa"/>
          </w:tcPr>
          <w:p w14:paraId="48B1735D" w14:textId="77777777" w:rsidR="009F2080" w:rsidRPr="00024FA9" w:rsidRDefault="009F2080" w:rsidP="00020B31">
            <w:pPr>
              <w:rPr>
                <w:sz w:val="18"/>
                <w:szCs w:val="18"/>
              </w:rPr>
            </w:pPr>
            <w:r w:rsidRPr="00024FA9">
              <w:rPr>
                <w:sz w:val="18"/>
                <w:szCs w:val="18"/>
              </w:rPr>
              <w:t>2007-08 Citizenship Survey</w:t>
            </w:r>
          </w:p>
          <w:p w14:paraId="5AA38B3A" w14:textId="77777777" w:rsidR="009F2080" w:rsidRPr="00024FA9" w:rsidRDefault="009F2080" w:rsidP="00020B31">
            <w:pPr>
              <w:rPr>
                <w:sz w:val="18"/>
                <w:szCs w:val="18"/>
              </w:rPr>
            </w:pPr>
            <w:r w:rsidRPr="00024FA9">
              <w:rPr>
                <w:sz w:val="18"/>
                <w:szCs w:val="18"/>
              </w:rPr>
              <w:t>Identity and Values Topic Report</w:t>
            </w:r>
          </w:p>
        </w:tc>
        <w:tc>
          <w:tcPr>
            <w:tcW w:w="1345" w:type="dxa"/>
          </w:tcPr>
          <w:p w14:paraId="4F21251C" w14:textId="77777777" w:rsidR="009F2080" w:rsidRPr="00024FA9" w:rsidRDefault="009F2080" w:rsidP="00020B31">
            <w:pPr>
              <w:rPr>
                <w:sz w:val="18"/>
                <w:szCs w:val="18"/>
              </w:rPr>
            </w:pPr>
            <w:r w:rsidRPr="00024FA9">
              <w:rPr>
                <w:sz w:val="18"/>
                <w:szCs w:val="18"/>
              </w:rPr>
              <w:t>Ministry of Housing, Department for Communities and Local Government</w:t>
            </w:r>
          </w:p>
        </w:tc>
        <w:tc>
          <w:tcPr>
            <w:tcW w:w="866" w:type="dxa"/>
          </w:tcPr>
          <w:p w14:paraId="4599725F" w14:textId="77777777" w:rsidR="009F2080" w:rsidRPr="00024FA9" w:rsidRDefault="009F2080" w:rsidP="00020B31">
            <w:pPr>
              <w:rPr>
                <w:sz w:val="18"/>
                <w:szCs w:val="18"/>
              </w:rPr>
            </w:pPr>
            <w:r w:rsidRPr="00024FA9">
              <w:rPr>
                <w:sz w:val="18"/>
                <w:szCs w:val="18"/>
              </w:rPr>
              <w:t>2014</w:t>
            </w:r>
          </w:p>
        </w:tc>
        <w:tc>
          <w:tcPr>
            <w:tcW w:w="614" w:type="dxa"/>
          </w:tcPr>
          <w:p w14:paraId="2AC58021" w14:textId="77777777" w:rsidR="009F2080" w:rsidRPr="00024FA9" w:rsidRDefault="00D047F3" w:rsidP="00020B31">
            <w:pPr>
              <w:rPr>
                <w:sz w:val="18"/>
                <w:szCs w:val="18"/>
              </w:rPr>
            </w:pPr>
            <w:hyperlink r:id="rId8" w:history="1">
              <w:r w:rsidR="009F2080" w:rsidRPr="00024FA9">
                <w:rPr>
                  <w:rStyle w:val="Hyperlink"/>
                  <w:sz w:val="18"/>
                  <w:szCs w:val="18"/>
                </w:rPr>
                <w:t>link</w:t>
              </w:r>
            </w:hyperlink>
            <w:r w:rsidR="009F2080" w:rsidRPr="00024FA9">
              <w:rPr>
                <w:sz w:val="18"/>
                <w:szCs w:val="18"/>
              </w:rPr>
              <w:br/>
            </w:r>
            <w:hyperlink r:id="rId9" w:history="1">
              <w:r w:rsidR="009F2080" w:rsidRPr="00024FA9">
                <w:rPr>
                  <w:rStyle w:val="Hyperlink"/>
                  <w:sz w:val="18"/>
                  <w:szCs w:val="18"/>
                </w:rPr>
                <w:t>link</w:t>
              </w:r>
            </w:hyperlink>
          </w:p>
        </w:tc>
        <w:tc>
          <w:tcPr>
            <w:tcW w:w="2863" w:type="dxa"/>
          </w:tcPr>
          <w:p w14:paraId="75D12EC1" w14:textId="77777777" w:rsidR="009F2080" w:rsidRPr="00024FA9" w:rsidRDefault="009F2080" w:rsidP="00020B31">
            <w:pPr>
              <w:rPr>
                <w:sz w:val="18"/>
                <w:szCs w:val="18"/>
              </w:rPr>
            </w:pPr>
            <w:r w:rsidRPr="00024FA9">
              <w:rPr>
                <w:sz w:val="18"/>
                <w:szCs w:val="18"/>
              </w:rPr>
              <w:t>This report examines attitudes to immigration, values, identity and sense of belonging to Britain using findings from the Citizenship Survey.</w:t>
            </w:r>
          </w:p>
        </w:tc>
        <w:tc>
          <w:tcPr>
            <w:tcW w:w="1131" w:type="dxa"/>
          </w:tcPr>
          <w:p w14:paraId="74FB87DD" w14:textId="77777777" w:rsidR="009F2080" w:rsidRPr="00024FA9" w:rsidRDefault="009F2080" w:rsidP="00020B31">
            <w:pPr>
              <w:rPr>
                <w:sz w:val="18"/>
                <w:szCs w:val="18"/>
              </w:rPr>
            </w:pPr>
            <w:r w:rsidRPr="00024FA9">
              <w:rPr>
                <w:sz w:val="18"/>
                <w:szCs w:val="18"/>
              </w:rPr>
              <w:t>survey</w:t>
            </w:r>
          </w:p>
        </w:tc>
      </w:tr>
    </w:tbl>
    <w:p w14:paraId="169987E3" w14:textId="0F6A14E2" w:rsidR="009F2080" w:rsidRDefault="009A15DF" w:rsidP="009F2080">
      <w:r>
        <w:t>Table 1</w:t>
      </w:r>
    </w:p>
    <w:p w14:paraId="73AFE0D0" w14:textId="77777777" w:rsidR="009A15DF" w:rsidRDefault="009A15DF" w:rsidP="009F2080"/>
    <w:p w14:paraId="1AFECB56" w14:textId="77777777" w:rsidR="009F2080" w:rsidRDefault="009F2080" w:rsidP="009F2080">
      <w:pPr>
        <w:pStyle w:val="Heading3"/>
      </w:pPr>
      <w:r>
        <w:t xml:space="preserve">1.1 </w:t>
      </w:r>
      <w:r w:rsidRPr="00541335">
        <w:t>Community Life Survey - London summary</w:t>
      </w:r>
    </w:p>
    <w:tbl>
      <w:tblPr>
        <w:tblStyle w:val="TableGrid"/>
        <w:tblW w:w="8784" w:type="dxa"/>
        <w:tblLook w:val="04A0" w:firstRow="1" w:lastRow="0" w:firstColumn="1" w:lastColumn="0" w:noHBand="0" w:noVBand="1"/>
      </w:tblPr>
      <w:tblGrid>
        <w:gridCol w:w="581"/>
        <w:gridCol w:w="1814"/>
        <w:gridCol w:w="2214"/>
        <w:gridCol w:w="4175"/>
      </w:tblGrid>
      <w:tr w:rsidR="009F2080" w14:paraId="4FEAAFA3" w14:textId="77777777" w:rsidTr="00020B31">
        <w:tc>
          <w:tcPr>
            <w:tcW w:w="352" w:type="dxa"/>
          </w:tcPr>
          <w:p w14:paraId="3BCB5ABD" w14:textId="77777777" w:rsidR="009F2080" w:rsidRDefault="009F2080" w:rsidP="00020B31"/>
        </w:tc>
        <w:tc>
          <w:tcPr>
            <w:tcW w:w="1842" w:type="dxa"/>
            <w:shd w:val="clear" w:color="auto" w:fill="4472C4" w:themeFill="accent1"/>
          </w:tcPr>
          <w:p w14:paraId="0364DCDB" w14:textId="77777777" w:rsidR="009F2080" w:rsidRPr="00AF0150" w:rsidRDefault="009F2080" w:rsidP="00020B31">
            <w:pPr>
              <w:rPr>
                <w:b/>
                <w:bCs/>
              </w:rPr>
            </w:pPr>
          </w:p>
        </w:tc>
        <w:tc>
          <w:tcPr>
            <w:tcW w:w="2268" w:type="dxa"/>
            <w:shd w:val="clear" w:color="auto" w:fill="4472C4" w:themeFill="accent1"/>
          </w:tcPr>
          <w:p w14:paraId="4F796904" w14:textId="77777777" w:rsidR="009F2080" w:rsidRPr="00AF0150" w:rsidRDefault="009F2080" w:rsidP="00020B31">
            <w:pPr>
              <w:rPr>
                <w:b/>
                <w:bCs/>
              </w:rPr>
            </w:pPr>
            <w:r w:rsidRPr="00AF0150">
              <w:rPr>
                <w:b/>
                <w:bCs/>
              </w:rPr>
              <w:t>activity</w:t>
            </w:r>
          </w:p>
        </w:tc>
        <w:tc>
          <w:tcPr>
            <w:tcW w:w="4322" w:type="dxa"/>
            <w:shd w:val="clear" w:color="auto" w:fill="4472C4" w:themeFill="accent1"/>
          </w:tcPr>
          <w:p w14:paraId="7FBEA5C7" w14:textId="77777777" w:rsidR="009F2080" w:rsidRPr="00AF0150" w:rsidRDefault="009F2080" w:rsidP="00020B31">
            <w:pPr>
              <w:rPr>
                <w:b/>
                <w:bCs/>
              </w:rPr>
            </w:pPr>
            <w:r w:rsidRPr="00AF0150">
              <w:rPr>
                <w:b/>
                <w:bCs/>
              </w:rPr>
              <w:t>findings</w:t>
            </w:r>
          </w:p>
        </w:tc>
      </w:tr>
      <w:tr w:rsidR="009F2080" w14:paraId="2C7C8CF0" w14:textId="77777777" w:rsidTr="00020B31">
        <w:tc>
          <w:tcPr>
            <w:tcW w:w="352" w:type="dxa"/>
          </w:tcPr>
          <w:p w14:paraId="7960F33A" w14:textId="77777777" w:rsidR="009F2080" w:rsidRPr="00024FA9" w:rsidRDefault="009F2080" w:rsidP="00020B31">
            <w:pPr>
              <w:rPr>
                <w:sz w:val="18"/>
                <w:szCs w:val="18"/>
              </w:rPr>
            </w:pPr>
            <w:r w:rsidRPr="00024FA9">
              <w:rPr>
                <w:sz w:val="18"/>
                <w:szCs w:val="18"/>
              </w:rPr>
              <w:t>1</w:t>
            </w:r>
            <w:r>
              <w:rPr>
                <w:sz w:val="18"/>
                <w:szCs w:val="18"/>
              </w:rPr>
              <w:t>.1.1</w:t>
            </w:r>
          </w:p>
        </w:tc>
        <w:tc>
          <w:tcPr>
            <w:tcW w:w="1842" w:type="dxa"/>
          </w:tcPr>
          <w:p w14:paraId="175FF14F" w14:textId="77777777" w:rsidR="009F2080" w:rsidRPr="00024FA9" w:rsidRDefault="009F2080" w:rsidP="00020B31">
            <w:pPr>
              <w:rPr>
                <w:sz w:val="18"/>
                <w:szCs w:val="18"/>
              </w:rPr>
            </w:pPr>
            <w:r w:rsidRPr="00024FA9">
              <w:rPr>
                <w:sz w:val="18"/>
                <w:szCs w:val="18"/>
              </w:rPr>
              <w:t>Social interaction</w:t>
            </w:r>
          </w:p>
        </w:tc>
        <w:tc>
          <w:tcPr>
            <w:tcW w:w="2268" w:type="dxa"/>
          </w:tcPr>
          <w:p w14:paraId="56B91347" w14:textId="77777777" w:rsidR="009F2080" w:rsidRPr="00024FA9" w:rsidRDefault="009F2080" w:rsidP="00020B31">
            <w:pPr>
              <w:rPr>
                <w:sz w:val="18"/>
                <w:szCs w:val="18"/>
              </w:rPr>
            </w:pPr>
            <w:r w:rsidRPr="00024FA9">
              <w:rPr>
                <w:sz w:val="18"/>
                <w:szCs w:val="18"/>
              </w:rPr>
              <w:t>Text/instant messages</w:t>
            </w:r>
          </w:p>
          <w:p w14:paraId="152571BF" w14:textId="77777777" w:rsidR="009F2080" w:rsidRPr="00024FA9" w:rsidRDefault="009F2080" w:rsidP="00020B31">
            <w:pPr>
              <w:rPr>
                <w:sz w:val="18"/>
                <w:szCs w:val="18"/>
              </w:rPr>
            </w:pPr>
          </w:p>
        </w:tc>
        <w:tc>
          <w:tcPr>
            <w:tcW w:w="4322" w:type="dxa"/>
          </w:tcPr>
          <w:p w14:paraId="588975E4" w14:textId="77777777" w:rsidR="009F2080" w:rsidRPr="00024FA9" w:rsidRDefault="009F2080" w:rsidP="00020B31">
            <w:pPr>
              <w:rPr>
                <w:sz w:val="18"/>
                <w:szCs w:val="18"/>
              </w:rPr>
            </w:pPr>
            <w:r w:rsidRPr="00024FA9">
              <w:rPr>
                <w:sz w:val="18"/>
                <w:szCs w:val="18"/>
              </w:rPr>
              <w:t xml:space="preserve">London 87% </w:t>
            </w:r>
          </w:p>
        </w:tc>
      </w:tr>
      <w:tr w:rsidR="009F2080" w14:paraId="094AD4EE" w14:textId="77777777" w:rsidTr="00020B31">
        <w:tc>
          <w:tcPr>
            <w:tcW w:w="352" w:type="dxa"/>
          </w:tcPr>
          <w:p w14:paraId="41379640" w14:textId="77777777" w:rsidR="009F2080" w:rsidRPr="00024FA9" w:rsidRDefault="009F2080" w:rsidP="00020B31">
            <w:pPr>
              <w:rPr>
                <w:sz w:val="18"/>
                <w:szCs w:val="18"/>
              </w:rPr>
            </w:pPr>
            <w:r w:rsidRPr="00024FA9">
              <w:rPr>
                <w:sz w:val="18"/>
                <w:szCs w:val="18"/>
              </w:rPr>
              <w:t>1</w:t>
            </w:r>
            <w:r>
              <w:rPr>
                <w:sz w:val="18"/>
                <w:szCs w:val="18"/>
              </w:rPr>
              <w:t>.1.2</w:t>
            </w:r>
          </w:p>
        </w:tc>
        <w:tc>
          <w:tcPr>
            <w:tcW w:w="1842" w:type="dxa"/>
          </w:tcPr>
          <w:p w14:paraId="0C8BDE89" w14:textId="77777777" w:rsidR="009F2080" w:rsidRPr="00024FA9" w:rsidRDefault="009F2080" w:rsidP="00020B31">
            <w:pPr>
              <w:rPr>
                <w:sz w:val="18"/>
                <w:szCs w:val="18"/>
              </w:rPr>
            </w:pPr>
          </w:p>
        </w:tc>
        <w:tc>
          <w:tcPr>
            <w:tcW w:w="2268" w:type="dxa"/>
          </w:tcPr>
          <w:p w14:paraId="6CE4D39B" w14:textId="77777777" w:rsidR="009F2080" w:rsidRPr="00024FA9" w:rsidRDefault="009F2080" w:rsidP="00020B31">
            <w:pPr>
              <w:rPr>
                <w:sz w:val="18"/>
                <w:szCs w:val="18"/>
              </w:rPr>
            </w:pPr>
            <w:r w:rsidRPr="00024FA9">
              <w:rPr>
                <w:sz w:val="18"/>
                <w:szCs w:val="18"/>
              </w:rPr>
              <w:t>Meet up in person</w:t>
            </w:r>
          </w:p>
          <w:p w14:paraId="2196D719" w14:textId="77777777" w:rsidR="009F2080" w:rsidRPr="00024FA9" w:rsidRDefault="009F2080" w:rsidP="00020B31">
            <w:pPr>
              <w:rPr>
                <w:sz w:val="18"/>
                <w:szCs w:val="18"/>
              </w:rPr>
            </w:pPr>
          </w:p>
        </w:tc>
        <w:tc>
          <w:tcPr>
            <w:tcW w:w="4322" w:type="dxa"/>
          </w:tcPr>
          <w:p w14:paraId="32C6A23D" w14:textId="77777777" w:rsidR="009F2080" w:rsidRPr="00024FA9" w:rsidRDefault="009F2080" w:rsidP="00020B31">
            <w:pPr>
              <w:rPr>
                <w:sz w:val="18"/>
                <w:szCs w:val="18"/>
              </w:rPr>
            </w:pPr>
            <w:r w:rsidRPr="00024FA9">
              <w:rPr>
                <w:sz w:val="18"/>
                <w:szCs w:val="18"/>
              </w:rPr>
              <w:t>London 62%</w:t>
            </w:r>
          </w:p>
        </w:tc>
      </w:tr>
      <w:tr w:rsidR="009F2080" w14:paraId="25E535FE" w14:textId="77777777" w:rsidTr="00020B31">
        <w:tc>
          <w:tcPr>
            <w:tcW w:w="352" w:type="dxa"/>
          </w:tcPr>
          <w:p w14:paraId="16D76EFA" w14:textId="77777777" w:rsidR="009F2080" w:rsidRPr="00024FA9" w:rsidRDefault="009F2080" w:rsidP="00020B31">
            <w:pPr>
              <w:rPr>
                <w:sz w:val="18"/>
                <w:szCs w:val="18"/>
              </w:rPr>
            </w:pPr>
            <w:r w:rsidRPr="00024FA9">
              <w:rPr>
                <w:sz w:val="18"/>
                <w:szCs w:val="18"/>
              </w:rPr>
              <w:t>1</w:t>
            </w:r>
            <w:r>
              <w:rPr>
                <w:sz w:val="18"/>
                <w:szCs w:val="18"/>
              </w:rPr>
              <w:t>.1.3</w:t>
            </w:r>
          </w:p>
        </w:tc>
        <w:tc>
          <w:tcPr>
            <w:tcW w:w="1842" w:type="dxa"/>
          </w:tcPr>
          <w:p w14:paraId="61C92F5B" w14:textId="77777777" w:rsidR="009F2080" w:rsidRPr="00024FA9" w:rsidRDefault="009F2080" w:rsidP="00020B31">
            <w:pPr>
              <w:rPr>
                <w:sz w:val="18"/>
                <w:szCs w:val="18"/>
              </w:rPr>
            </w:pPr>
          </w:p>
        </w:tc>
        <w:tc>
          <w:tcPr>
            <w:tcW w:w="2268" w:type="dxa"/>
          </w:tcPr>
          <w:p w14:paraId="7E2A9B49" w14:textId="77777777" w:rsidR="009F2080" w:rsidRPr="00024FA9" w:rsidRDefault="009F2080" w:rsidP="00020B31">
            <w:pPr>
              <w:rPr>
                <w:sz w:val="18"/>
                <w:szCs w:val="18"/>
              </w:rPr>
            </w:pPr>
            <w:r w:rsidRPr="00024FA9">
              <w:rPr>
                <w:sz w:val="18"/>
                <w:szCs w:val="18"/>
              </w:rPr>
              <w:t>Emails/letters</w:t>
            </w:r>
          </w:p>
        </w:tc>
        <w:tc>
          <w:tcPr>
            <w:tcW w:w="4322" w:type="dxa"/>
          </w:tcPr>
          <w:p w14:paraId="43942892" w14:textId="77777777" w:rsidR="009F2080" w:rsidRPr="00024FA9" w:rsidRDefault="009F2080" w:rsidP="00020B31">
            <w:pPr>
              <w:rPr>
                <w:sz w:val="18"/>
                <w:szCs w:val="18"/>
              </w:rPr>
            </w:pPr>
            <w:r w:rsidRPr="00024FA9">
              <w:rPr>
                <w:sz w:val="18"/>
                <w:szCs w:val="18"/>
              </w:rPr>
              <w:t>London 43% (36% average across all regions)</w:t>
            </w:r>
          </w:p>
        </w:tc>
      </w:tr>
      <w:tr w:rsidR="009F2080" w14:paraId="40F12766" w14:textId="77777777" w:rsidTr="00020B31">
        <w:tc>
          <w:tcPr>
            <w:tcW w:w="352" w:type="dxa"/>
          </w:tcPr>
          <w:p w14:paraId="655519A7" w14:textId="77777777" w:rsidR="009F2080" w:rsidRPr="00024FA9" w:rsidRDefault="009F2080" w:rsidP="00020B31">
            <w:pPr>
              <w:rPr>
                <w:sz w:val="18"/>
                <w:szCs w:val="18"/>
              </w:rPr>
            </w:pPr>
            <w:r>
              <w:rPr>
                <w:sz w:val="18"/>
                <w:szCs w:val="18"/>
              </w:rPr>
              <w:t>1.1.4</w:t>
            </w:r>
          </w:p>
        </w:tc>
        <w:tc>
          <w:tcPr>
            <w:tcW w:w="1842" w:type="dxa"/>
          </w:tcPr>
          <w:p w14:paraId="0CC60758" w14:textId="77777777" w:rsidR="009F2080" w:rsidRPr="00024FA9" w:rsidRDefault="009F2080" w:rsidP="00020B31">
            <w:pPr>
              <w:rPr>
                <w:sz w:val="18"/>
                <w:szCs w:val="18"/>
              </w:rPr>
            </w:pPr>
            <w:r w:rsidRPr="00024FA9">
              <w:rPr>
                <w:sz w:val="18"/>
                <w:szCs w:val="18"/>
              </w:rPr>
              <w:t xml:space="preserve">Support network </w:t>
            </w:r>
          </w:p>
        </w:tc>
        <w:tc>
          <w:tcPr>
            <w:tcW w:w="2268" w:type="dxa"/>
          </w:tcPr>
          <w:p w14:paraId="24146F1F" w14:textId="77777777" w:rsidR="009F2080" w:rsidRPr="00024FA9" w:rsidRDefault="009F2080" w:rsidP="00020B31">
            <w:pPr>
              <w:rPr>
                <w:sz w:val="18"/>
                <w:szCs w:val="18"/>
              </w:rPr>
            </w:pPr>
          </w:p>
        </w:tc>
        <w:tc>
          <w:tcPr>
            <w:tcW w:w="4322" w:type="dxa"/>
          </w:tcPr>
          <w:p w14:paraId="3EF7BBEC" w14:textId="77777777" w:rsidR="009F2080" w:rsidRPr="00024FA9" w:rsidRDefault="009F2080" w:rsidP="00020B31">
            <w:pPr>
              <w:rPr>
                <w:sz w:val="18"/>
                <w:szCs w:val="18"/>
              </w:rPr>
            </w:pPr>
            <w:r w:rsidRPr="00024FA9">
              <w:rPr>
                <w:sz w:val="18"/>
                <w:szCs w:val="18"/>
              </w:rPr>
              <w:t>&gt;90% across all regions</w:t>
            </w:r>
          </w:p>
        </w:tc>
      </w:tr>
      <w:tr w:rsidR="009F2080" w14:paraId="0058EEBB" w14:textId="77777777" w:rsidTr="00020B31">
        <w:tc>
          <w:tcPr>
            <w:tcW w:w="352" w:type="dxa"/>
          </w:tcPr>
          <w:p w14:paraId="7E8145A6" w14:textId="77777777" w:rsidR="009F2080" w:rsidRPr="00024FA9" w:rsidRDefault="009F2080" w:rsidP="00020B31">
            <w:pPr>
              <w:rPr>
                <w:sz w:val="18"/>
                <w:szCs w:val="18"/>
              </w:rPr>
            </w:pPr>
            <w:r>
              <w:rPr>
                <w:sz w:val="18"/>
                <w:szCs w:val="18"/>
              </w:rPr>
              <w:t>1.1.5</w:t>
            </w:r>
          </w:p>
        </w:tc>
        <w:tc>
          <w:tcPr>
            <w:tcW w:w="1842" w:type="dxa"/>
          </w:tcPr>
          <w:p w14:paraId="4059EA17" w14:textId="77777777" w:rsidR="009F2080" w:rsidRPr="00024FA9" w:rsidRDefault="009F2080" w:rsidP="00020B31">
            <w:pPr>
              <w:rPr>
                <w:sz w:val="18"/>
                <w:szCs w:val="18"/>
              </w:rPr>
            </w:pPr>
            <w:r w:rsidRPr="00024FA9">
              <w:rPr>
                <w:sz w:val="18"/>
                <w:szCs w:val="18"/>
              </w:rPr>
              <w:t>Neighbourhood and community</w:t>
            </w:r>
          </w:p>
        </w:tc>
        <w:tc>
          <w:tcPr>
            <w:tcW w:w="2268" w:type="dxa"/>
          </w:tcPr>
          <w:p w14:paraId="547646B3" w14:textId="77777777" w:rsidR="009F2080" w:rsidRPr="00024FA9" w:rsidRDefault="009F2080" w:rsidP="00020B31">
            <w:pPr>
              <w:rPr>
                <w:sz w:val="18"/>
                <w:szCs w:val="18"/>
              </w:rPr>
            </w:pPr>
            <w:r w:rsidRPr="00024FA9">
              <w:rPr>
                <w:sz w:val="18"/>
                <w:szCs w:val="18"/>
              </w:rPr>
              <w:t>Satisfaction with neighbourhood</w:t>
            </w:r>
          </w:p>
        </w:tc>
        <w:tc>
          <w:tcPr>
            <w:tcW w:w="4322" w:type="dxa"/>
          </w:tcPr>
          <w:p w14:paraId="588332C4" w14:textId="77777777" w:rsidR="009F2080" w:rsidRPr="00024FA9" w:rsidRDefault="009F2080" w:rsidP="009F2080">
            <w:pPr>
              <w:pStyle w:val="ListParagraph"/>
              <w:numPr>
                <w:ilvl w:val="0"/>
                <w:numId w:val="1"/>
              </w:numPr>
              <w:rPr>
                <w:sz w:val="18"/>
                <w:szCs w:val="18"/>
              </w:rPr>
            </w:pPr>
            <w:r w:rsidRPr="00024FA9">
              <w:rPr>
                <w:sz w:val="18"/>
                <w:szCs w:val="18"/>
              </w:rPr>
              <w:t>&gt;75% across all regions</w:t>
            </w:r>
          </w:p>
          <w:p w14:paraId="3C3F7F11" w14:textId="77777777" w:rsidR="009F2080" w:rsidRPr="00024FA9" w:rsidRDefault="009F2080" w:rsidP="009F2080">
            <w:pPr>
              <w:pStyle w:val="ListParagraph"/>
              <w:numPr>
                <w:ilvl w:val="0"/>
                <w:numId w:val="1"/>
              </w:numPr>
              <w:rPr>
                <w:sz w:val="18"/>
                <w:szCs w:val="18"/>
              </w:rPr>
            </w:pPr>
            <w:r w:rsidRPr="00024FA9">
              <w:rPr>
                <w:sz w:val="18"/>
                <w:szCs w:val="18"/>
              </w:rPr>
              <w:t>16-24 less satisfied than older</w:t>
            </w:r>
          </w:p>
          <w:p w14:paraId="6AFA7E4C" w14:textId="77777777" w:rsidR="009F2080" w:rsidRPr="00024FA9" w:rsidRDefault="009F2080" w:rsidP="009F2080">
            <w:pPr>
              <w:pStyle w:val="ListParagraph"/>
              <w:numPr>
                <w:ilvl w:val="0"/>
                <w:numId w:val="1"/>
              </w:numPr>
              <w:rPr>
                <w:sz w:val="18"/>
                <w:szCs w:val="18"/>
              </w:rPr>
            </w:pPr>
            <w:r w:rsidRPr="00024FA9">
              <w:rPr>
                <w:sz w:val="18"/>
                <w:szCs w:val="18"/>
              </w:rPr>
              <w:t>White people more satisfied than mixed background and Black people</w:t>
            </w:r>
          </w:p>
          <w:p w14:paraId="26CC229F" w14:textId="77777777" w:rsidR="009F2080" w:rsidRPr="00024FA9" w:rsidRDefault="009F2080" w:rsidP="009F2080">
            <w:pPr>
              <w:pStyle w:val="ListParagraph"/>
              <w:numPr>
                <w:ilvl w:val="0"/>
                <w:numId w:val="1"/>
              </w:numPr>
              <w:rPr>
                <w:sz w:val="18"/>
                <w:szCs w:val="18"/>
              </w:rPr>
            </w:pPr>
            <w:r w:rsidRPr="00024FA9">
              <w:rPr>
                <w:sz w:val="18"/>
                <w:szCs w:val="18"/>
              </w:rPr>
              <w:t>Rural areas more satisfied than urban areas</w:t>
            </w:r>
          </w:p>
        </w:tc>
      </w:tr>
      <w:tr w:rsidR="009F2080" w14:paraId="7D003468" w14:textId="77777777" w:rsidTr="00020B31">
        <w:tc>
          <w:tcPr>
            <w:tcW w:w="352" w:type="dxa"/>
          </w:tcPr>
          <w:p w14:paraId="6ECB1B8D" w14:textId="77777777" w:rsidR="009F2080" w:rsidRPr="00024FA9" w:rsidRDefault="009F2080" w:rsidP="00020B31">
            <w:pPr>
              <w:rPr>
                <w:sz w:val="18"/>
                <w:szCs w:val="18"/>
              </w:rPr>
            </w:pPr>
            <w:r>
              <w:rPr>
                <w:sz w:val="18"/>
                <w:szCs w:val="18"/>
              </w:rPr>
              <w:t>1.1.6</w:t>
            </w:r>
          </w:p>
        </w:tc>
        <w:tc>
          <w:tcPr>
            <w:tcW w:w="1842" w:type="dxa"/>
          </w:tcPr>
          <w:p w14:paraId="00ECE318" w14:textId="77777777" w:rsidR="009F2080" w:rsidRPr="00024FA9" w:rsidRDefault="009F2080" w:rsidP="00020B31">
            <w:pPr>
              <w:rPr>
                <w:sz w:val="18"/>
                <w:szCs w:val="18"/>
              </w:rPr>
            </w:pPr>
          </w:p>
        </w:tc>
        <w:tc>
          <w:tcPr>
            <w:tcW w:w="2268" w:type="dxa"/>
          </w:tcPr>
          <w:p w14:paraId="1AD0BCC1" w14:textId="77777777" w:rsidR="009F2080" w:rsidRPr="00024FA9" w:rsidRDefault="009F2080" w:rsidP="00020B31">
            <w:pPr>
              <w:rPr>
                <w:sz w:val="18"/>
                <w:szCs w:val="18"/>
              </w:rPr>
            </w:pPr>
            <w:r w:rsidRPr="00024FA9">
              <w:rPr>
                <w:sz w:val="18"/>
                <w:szCs w:val="18"/>
              </w:rPr>
              <w:t>Belonging to neighbourhood</w:t>
            </w:r>
          </w:p>
        </w:tc>
        <w:tc>
          <w:tcPr>
            <w:tcW w:w="4322" w:type="dxa"/>
          </w:tcPr>
          <w:p w14:paraId="54E5F1F5" w14:textId="77777777" w:rsidR="009F2080" w:rsidRPr="00024FA9" w:rsidRDefault="009F2080" w:rsidP="009F2080">
            <w:pPr>
              <w:pStyle w:val="ListParagraph"/>
              <w:numPr>
                <w:ilvl w:val="0"/>
                <w:numId w:val="1"/>
              </w:numPr>
              <w:rPr>
                <w:sz w:val="18"/>
                <w:szCs w:val="18"/>
              </w:rPr>
            </w:pPr>
            <w:r w:rsidRPr="00024FA9">
              <w:rPr>
                <w:sz w:val="18"/>
                <w:szCs w:val="18"/>
              </w:rPr>
              <w:t>&gt;65% across all regions</w:t>
            </w:r>
          </w:p>
          <w:p w14:paraId="1480320A" w14:textId="77777777" w:rsidR="009F2080" w:rsidRPr="00024FA9" w:rsidRDefault="009F2080" w:rsidP="009F2080">
            <w:pPr>
              <w:pStyle w:val="ListParagraph"/>
              <w:numPr>
                <w:ilvl w:val="0"/>
                <w:numId w:val="1"/>
              </w:numPr>
              <w:rPr>
                <w:sz w:val="18"/>
                <w:szCs w:val="18"/>
              </w:rPr>
            </w:pPr>
            <w:r w:rsidRPr="00024FA9">
              <w:rPr>
                <w:sz w:val="18"/>
                <w:szCs w:val="18"/>
              </w:rPr>
              <w:t>Young people less belonging than older people</w:t>
            </w:r>
          </w:p>
          <w:p w14:paraId="150C6654" w14:textId="77777777" w:rsidR="009F2080" w:rsidRPr="00024FA9" w:rsidRDefault="009F2080" w:rsidP="009F2080">
            <w:pPr>
              <w:pStyle w:val="ListParagraph"/>
              <w:numPr>
                <w:ilvl w:val="0"/>
                <w:numId w:val="1"/>
              </w:numPr>
              <w:rPr>
                <w:sz w:val="18"/>
                <w:szCs w:val="18"/>
              </w:rPr>
            </w:pPr>
            <w:r w:rsidRPr="00024FA9">
              <w:rPr>
                <w:sz w:val="18"/>
                <w:szCs w:val="18"/>
              </w:rPr>
              <w:t>Rural areas more belonging than urban areas</w:t>
            </w:r>
          </w:p>
          <w:p w14:paraId="17BE5CF0" w14:textId="77777777" w:rsidR="009F2080" w:rsidRPr="00024FA9" w:rsidRDefault="009F2080" w:rsidP="00020B31">
            <w:pPr>
              <w:rPr>
                <w:sz w:val="18"/>
                <w:szCs w:val="18"/>
              </w:rPr>
            </w:pPr>
          </w:p>
        </w:tc>
      </w:tr>
      <w:tr w:rsidR="009F2080" w14:paraId="60A5ECBB" w14:textId="77777777" w:rsidTr="00020B31">
        <w:tc>
          <w:tcPr>
            <w:tcW w:w="352" w:type="dxa"/>
          </w:tcPr>
          <w:p w14:paraId="0BE77617" w14:textId="77777777" w:rsidR="009F2080" w:rsidRPr="00024FA9" w:rsidRDefault="009F2080" w:rsidP="00020B31">
            <w:pPr>
              <w:rPr>
                <w:sz w:val="18"/>
                <w:szCs w:val="18"/>
              </w:rPr>
            </w:pPr>
            <w:r>
              <w:rPr>
                <w:sz w:val="18"/>
                <w:szCs w:val="18"/>
              </w:rPr>
              <w:t>1.1.7</w:t>
            </w:r>
          </w:p>
        </w:tc>
        <w:tc>
          <w:tcPr>
            <w:tcW w:w="1842" w:type="dxa"/>
          </w:tcPr>
          <w:p w14:paraId="49AA1105" w14:textId="77777777" w:rsidR="009F2080" w:rsidRPr="00024FA9" w:rsidRDefault="009F2080" w:rsidP="00020B31">
            <w:pPr>
              <w:rPr>
                <w:sz w:val="18"/>
                <w:szCs w:val="18"/>
              </w:rPr>
            </w:pPr>
          </w:p>
        </w:tc>
        <w:tc>
          <w:tcPr>
            <w:tcW w:w="2268" w:type="dxa"/>
          </w:tcPr>
          <w:p w14:paraId="1C5BBD4B" w14:textId="77777777" w:rsidR="009F2080" w:rsidRPr="00024FA9" w:rsidRDefault="009F2080" w:rsidP="00020B31">
            <w:pPr>
              <w:rPr>
                <w:sz w:val="18"/>
                <w:szCs w:val="18"/>
              </w:rPr>
            </w:pPr>
            <w:r w:rsidRPr="00024FA9">
              <w:rPr>
                <w:sz w:val="18"/>
                <w:szCs w:val="18"/>
              </w:rPr>
              <w:t>Local area and people from different</w:t>
            </w:r>
          </w:p>
          <w:p w14:paraId="06799CDF" w14:textId="77777777" w:rsidR="009F2080" w:rsidRPr="00024FA9" w:rsidRDefault="009F2080" w:rsidP="00020B31">
            <w:pPr>
              <w:rPr>
                <w:sz w:val="18"/>
                <w:szCs w:val="18"/>
              </w:rPr>
            </w:pPr>
            <w:r w:rsidRPr="00024FA9">
              <w:rPr>
                <w:sz w:val="18"/>
                <w:szCs w:val="18"/>
              </w:rPr>
              <w:lastRenderedPageBreak/>
              <w:t>backgrounds getting on well together</w:t>
            </w:r>
          </w:p>
        </w:tc>
        <w:tc>
          <w:tcPr>
            <w:tcW w:w="4322" w:type="dxa"/>
          </w:tcPr>
          <w:p w14:paraId="0283DA74" w14:textId="77777777" w:rsidR="009F2080" w:rsidRPr="00024FA9" w:rsidRDefault="009F2080" w:rsidP="009F2080">
            <w:pPr>
              <w:pStyle w:val="ListParagraph"/>
              <w:numPr>
                <w:ilvl w:val="0"/>
                <w:numId w:val="1"/>
              </w:numPr>
              <w:rPr>
                <w:sz w:val="18"/>
                <w:szCs w:val="18"/>
              </w:rPr>
            </w:pPr>
            <w:r w:rsidRPr="00024FA9">
              <w:rPr>
                <w:sz w:val="18"/>
                <w:szCs w:val="18"/>
              </w:rPr>
              <w:lastRenderedPageBreak/>
              <w:t>&gt;80% across all regions</w:t>
            </w:r>
          </w:p>
          <w:p w14:paraId="1760338A" w14:textId="77777777" w:rsidR="009F2080" w:rsidRPr="00024FA9" w:rsidRDefault="009F2080" w:rsidP="00020B31">
            <w:pPr>
              <w:rPr>
                <w:sz w:val="18"/>
                <w:szCs w:val="18"/>
              </w:rPr>
            </w:pPr>
          </w:p>
        </w:tc>
      </w:tr>
      <w:tr w:rsidR="009F2080" w14:paraId="29279B0F" w14:textId="77777777" w:rsidTr="00020B31">
        <w:tc>
          <w:tcPr>
            <w:tcW w:w="352" w:type="dxa"/>
          </w:tcPr>
          <w:p w14:paraId="5877AA3C" w14:textId="77777777" w:rsidR="009F2080" w:rsidRPr="00024FA9" w:rsidRDefault="009F2080" w:rsidP="00020B31">
            <w:pPr>
              <w:rPr>
                <w:sz w:val="18"/>
                <w:szCs w:val="18"/>
              </w:rPr>
            </w:pPr>
            <w:r>
              <w:rPr>
                <w:sz w:val="18"/>
                <w:szCs w:val="18"/>
              </w:rPr>
              <w:t>1.1.8</w:t>
            </w:r>
          </w:p>
        </w:tc>
        <w:tc>
          <w:tcPr>
            <w:tcW w:w="1842" w:type="dxa"/>
          </w:tcPr>
          <w:p w14:paraId="01CA93A5" w14:textId="77777777" w:rsidR="009F2080" w:rsidRPr="00024FA9" w:rsidRDefault="009F2080" w:rsidP="00020B31">
            <w:pPr>
              <w:rPr>
                <w:sz w:val="18"/>
                <w:szCs w:val="18"/>
              </w:rPr>
            </w:pPr>
          </w:p>
        </w:tc>
        <w:tc>
          <w:tcPr>
            <w:tcW w:w="2268" w:type="dxa"/>
          </w:tcPr>
          <w:p w14:paraId="538EDE3B" w14:textId="77777777" w:rsidR="009F2080" w:rsidRPr="00024FA9" w:rsidRDefault="009F2080" w:rsidP="00020B31">
            <w:pPr>
              <w:rPr>
                <w:sz w:val="18"/>
                <w:szCs w:val="18"/>
              </w:rPr>
            </w:pPr>
            <w:r w:rsidRPr="00024FA9">
              <w:rPr>
                <w:sz w:val="18"/>
                <w:szCs w:val="18"/>
              </w:rPr>
              <w:t>Chatting to neighbours</w:t>
            </w:r>
          </w:p>
        </w:tc>
        <w:tc>
          <w:tcPr>
            <w:tcW w:w="4322" w:type="dxa"/>
          </w:tcPr>
          <w:p w14:paraId="2AF06D9B" w14:textId="77777777" w:rsidR="009F2080" w:rsidRPr="00024FA9" w:rsidRDefault="009F2080" w:rsidP="009F2080">
            <w:pPr>
              <w:pStyle w:val="ListParagraph"/>
              <w:numPr>
                <w:ilvl w:val="0"/>
                <w:numId w:val="1"/>
              </w:numPr>
              <w:rPr>
                <w:sz w:val="18"/>
                <w:szCs w:val="18"/>
              </w:rPr>
            </w:pPr>
            <w:r w:rsidRPr="00024FA9">
              <w:rPr>
                <w:sz w:val="18"/>
                <w:szCs w:val="18"/>
              </w:rPr>
              <w:t>&gt;73% across all regions</w:t>
            </w:r>
          </w:p>
          <w:p w14:paraId="64A99A90" w14:textId="77777777" w:rsidR="009F2080" w:rsidRPr="00024FA9" w:rsidRDefault="009F2080" w:rsidP="009F2080">
            <w:pPr>
              <w:pStyle w:val="ListParagraph"/>
              <w:numPr>
                <w:ilvl w:val="0"/>
                <w:numId w:val="1"/>
              </w:numPr>
              <w:rPr>
                <w:sz w:val="18"/>
                <w:szCs w:val="18"/>
              </w:rPr>
            </w:pPr>
            <w:r w:rsidRPr="00024FA9">
              <w:rPr>
                <w:sz w:val="18"/>
                <w:szCs w:val="18"/>
              </w:rPr>
              <w:t>16-24 less involved than older</w:t>
            </w:r>
          </w:p>
          <w:p w14:paraId="599B7C8C" w14:textId="77777777" w:rsidR="009F2080" w:rsidRPr="00024FA9" w:rsidRDefault="009F2080" w:rsidP="009F2080">
            <w:pPr>
              <w:pStyle w:val="ListParagraph"/>
              <w:numPr>
                <w:ilvl w:val="0"/>
                <w:numId w:val="1"/>
              </w:numPr>
              <w:rPr>
                <w:sz w:val="18"/>
                <w:szCs w:val="18"/>
              </w:rPr>
            </w:pPr>
            <w:r w:rsidRPr="00024FA9">
              <w:rPr>
                <w:sz w:val="18"/>
                <w:szCs w:val="18"/>
              </w:rPr>
              <w:t>White people more involved than mixed background and Black people</w:t>
            </w:r>
          </w:p>
          <w:p w14:paraId="3D05F8D3" w14:textId="77777777" w:rsidR="009F2080" w:rsidRPr="00024FA9" w:rsidRDefault="009F2080" w:rsidP="009F2080">
            <w:pPr>
              <w:pStyle w:val="ListParagraph"/>
              <w:numPr>
                <w:ilvl w:val="0"/>
                <w:numId w:val="1"/>
              </w:numPr>
              <w:rPr>
                <w:sz w:val="18"/>
                <w:szCs w:val="18"/>
              </w:rPr>
            </w:pPr>
            <w:r w:rsidRPr="00024FA9">
              <w:rPr>
                <w:sz w:val="18"/>
                <w:szCs w:val="18"/>
              </w:rPr>
              <w:t>Rural areas more satisfied than urban areas</w:t>
            </w:r>
          </w:p>
        </w:tc>
      </w:tr>
    </w:tbl>
    <w:p w14:paraId="6F745135" w14:textId="64EF4D40" w:rsidR="009F2080" w:rsidRDefault="009A15DF" w:rsidP="009F2080">
      <w:r>
        <w:t>Table 1.1</w:t>
      </w:r>
    </w:p>
    <w:p w14:paraId="5C5C5863" w14:textId="77777777" w:rsidR="009F2080" w:rsidRDefault="009F2080" w:rsidP="009F2080">
      <w:r>
        <w:t>The GLA’s Community Life Survey includes a base of adults aged 16+ with, for example, London: 2,933, West Midlands: 1,062, North West: 1,144, North East: 358, Yorkshire and The Humber: 895, East of England: 1,181, South East: 1,704, East Midlands: 771, South West: 808 (</w:t>
      </w:r>
      <w:r w:rsidRPr="00F13CC5">
        <w:t xml:space="preserve">City Intelligence Unit, </w:t>
      </w:r>
      <w:r>
        <w:t xml:space="preserve">GLA 2021:11). We excluded from our study indicators that are not relevant (sense of belonging to Britain, civic engagement, volunteering and charity), obvious (responses from people living in most deprived areas are more negative in general than those from less deprived areas) and with very low values, for example loneliness (around 7% across regions). </w:t>
      </w:r>
    </w:p>
    <w:p w14:paraId="5DB7AACD" w14:textId="77777777" w:rsidR="009F2080" w:rsidRDefault="009F2080" w:rsidP="009F2080"/>
    <w:p w14:paraId="6A205655" w14:textId="77777777" w:rsidR="009F2080" w:rsidRDefault="009F2080" w:rsidP="009F2080"/>
    <w:p w14:paraId="759CEF3D" w14:textId="77777777" w:rsidR="009F2080" w:rsidRDefault="009F2080" w:rsidP="009F2080">
      <w:pPr>
        <w:pStyle w:val="Heading3"/>
      </w:pPr>
      <w:r>
        <w:t>1.2 Equality, diversity and inclusion evidence base for London</w:t>
      </w:r>
    </w:p>
    <w:tbl>
      <w:tblPr>
        <w:tblStyle w:val="TableGrid"/>
        <w:tblW w:w="8359" w:type="dxa"/>
        <w:tblLook w:val="04A0" w:firstRow="1" w:lastRow="0" w:firstColumn="1" w:lastColumn="0" w:noHBand="0" w:noVBand="1"/>
      </w:tblPr>
      <w:tblGrid>
        <w:gridCol w:w="581"/>
        <w:gridCol w:w="2018"/>
        <w:gridCol w:w="5760"/>
      </w:tblGrid>
      <w:tr w:rsidR="009F2080" w14:paraId="1C5DD18B" w14:textId="77777777" w:rsidTr="00020B31">
        <w:tc>
          <w:tcPr>
            <w:tcW w:w="581" w:type="dxa"/>
          </w:tcPr>
          <w:p w14:paraId="2092FABD" w14:textId="77777777" w:rsidR="009F2080" w:rsidRDefault="009F2080" w:rsidP="00020B31"/>
        </w:tc>
        <w:tc>
          <w:tcPr>
            <w:tcW w:w="2018" w:type="dxa"/>
            <w:shd w:val="clear" w:color="auto" w:fill="4472C4" w:themeFill="accent1"/>
          </w:tcPr>
          <w:p w14:paraId="41A9D6A3" w14:textId="77777777" w:rsidR="009F2080" w:rsidRPr="00A62BC3" w:rsidRDefault="009F2080" w:rsidP="00020B31">
            <w:pPr>
              <w:rPr>
                <w:b/>
                <w:bCs/>
              </w:rPr>
            </w:pPr>
            <w:r w:rsidRPr="00A62BC3">
              <w:rPr>
                <w:b/>
                <w:bCs/>
              </w:rPr>
              <w:t>parameter</w:t>
            </w:r>
          </w:p>
        </w:tc>
        <w:tc>
          <w:tcPr>
            <w:tcW w:w="5760" w:type="dxa"/>
            <w:shd w:val="clear" w:color="auto" w:fill="4472C4" w:themeFill="accent1"/>
          </w:tcPr>
          <w:p w14:paraId="2B9C0AFA" w14:textId="77777777" w:rsidR="009F2080" w:rsidRPr="00A62BC3" w:rsidRDefault="009F2080" w:rsidP="00020B31">
            <w:pPr>
              <w:rPr>
                <w:b/>
                <w:bCs/>
              </w:rPr>
            </w:pPr>
            <w:r w:rsidRPr="00A62BC3">
              <w:rPr>
                <w:b/>
                <w:bCs/>
              </w:rPr>
              <w:t>comment</w:t>
            </w:r>
          </w:p>
        </w:tc>
      </w:tr>
      <w:tr w:rsidR="009F2080" w14:paraId="259590BA" w14:textId="77777777" w:rsidTr="00020B31">
        <w:tc>
          <w:tcPr>
            <w:tcW w:w="581" w:type="dxa"/>
          </w:tcPr>
          <w:p w14:paraId="563C883A" w14:textId="77777777" w:rsidR="009F2080" w:rsidRPr="00AC016D" w:rsidRDefault="009F2080" w:rsidP="00020B31">
            <w:pPr>
              <w:rPr>
                <w:sz w:val="18"/>
                <w:szCs w:val="18"/>
              </w:rPr>
            </w:pPr>
            <w:r w:rsidRPr="00AC016D">
              <w:rPr>
                <w:sz w:val="18"/>
                <w:szCs w:val="18"/>
              </w:rPr>
              <w:t>1</w:t>
            </w:r>
            <w:r>
              <w:rPr>
                <w:sz w:val="18"/>
                <w:szCs w:val="18"/>
              </w:rPr>
              <w:t>.2.1</w:t>
            </w:r>
          </w:p>
        </w:tc>
        <w:tc>
          <w:tcPr>
            <w:tcW w:w="2018" w:type="dxa"/>
          </w:tcPr>
          <w:p w14:paraId="6B4304E4" w14:textId="77777777" w:rsidR="009F2080" w:rsidRPr="00AC016D" w:rsidRDefault="009F2080" w:rsidP="00020B31">
            <w:pPr>
              <w:rPr>
                <w:sz w:val="18"/>
                <w:szCs w:val="18"/>
              </w:rPr>
            </w:pPr>
            <w:r w:rsidRPr="00AC016D">
              <w:rPr>
                <w:sz w:val="18"/>
                <w:szCs w:val="18"/>
              </w:rPr>
              <w:t>High housing</w:t>
            </w:r>
          </w:p>
        </w:tc>
        <w:tc>
          <w:tcPr>
            <w:tcW w:w="5760" w:type="dxa"/>
          </w:tcPr>
          <w:p w14:paraId="051F8748" w14:textId="77777777" w:rsidR="009F2080" w:rsidRPr="00AC016D" w:rsidRDefault="009F2080" w:rsidP="00020B31">
            <w:pPr>
              <w:rPr>
                <w:sz w:val="18"/>
                <w:szCs w:val="18"/>
              </w:rPr>
            </w:pPr>
            <w:r w:rsidRPr="00AC016D">
              <w:rPr>
                <w:sz w:val="18"/>
                <w:szCs w:val="18"/>
              </w:rPr>
              <w:t xml:space="preserve">High housing costs in London affect private and social renters more than owner-occupiers. </w:t>
            </w:r>
          </w:p>
        </w:tc>
      </w:tr>
      <w:tr w:rsidR="009F2080" w14:paraId="5A7FC4AD" w14:textId="77777777" w:rsidTr="00020B31">
        <w:tc>
          <w:tcPr>
            <w:tcW w:w="581" w:type="dxa"/>
          </w:tcPr>
          <w:p w14:paraId="75DDF28E" w14:textId="77777777" w:rsidR="009F2080" w:rsidRPr="00AC016D" w:rsidRDefault="009F2080" w:rsidP="00020B31">
            <w:pPr>
              <w:rPr>
                <w:sz w:val="18"/>
                <w:szCs w:val="18"/>
              </w:rPr>
            </w:pPr>
            <w:r w:rsidRPr="00287DA3">
              <w:rPr>
                <w:sz w:val="18"/>
                <w:szCs w:val="18"/>
              </w:rPr>
              <w:t>1.2.</w:t>
            </w:r>
            <w:r>
              <w:rPr>
                <w:sz w:val="18"/>
                <w:szCs w:val="18"/>
              </w:rPr>
              <w:t>2</w:t>
            </w:r>
          </w:p>
        </w:tc>
        <w:tc>
          <w:tcPr>
            <w:tcW w:w="2018" w:type="dxa"/>
          </w:tcPr>
          <w:p w14:paraId="5EAF1A42" w14:textId="77777777" w:rsidR="009F2080" w:rsidRPr="00AC016D" w:rsidRDefault="009F2080" w:rsidP="00020B31">
            <w:pPr>
              <w:rPr>
                <w:sz w:val="18"/>
                <w:szCs w:val="18"/>
              </w:rPr>
            </w:pPr>
            <w:r w:rsidRPr="00AC016D">
              <w:rPr>
                <w:sz w:val="18"/>
                <w:szCs w:val="18"/>
              </w:rPr>
              <w:t>Low quality-housing</w:t>
            </w:r>
          </w:p>
        </w:tc>
        <w:tc>
          <w:tcPr>
            <w:tcW w:w="5760" w:type="dxa"/>
          </w:tcPr>
          <w:p w14:paraId="7E8F4CBC" w14:textId="77777777" w:rsidR="009F2080" w:rsidRPr="00AC016D" w:rsidRDefault="009F2080" w:rsidP="00020B31">
            <w:pPr>
              <w:rPr>
                <w:sz w:val="18"/>
                <w:szCs w:val="18"/>
              </w:rPr>
            </w:pPr>
            <w:r w:rsidRPr="00AC016D">
              <w:rPr>
                <w:sz w:val="18"/>
                <w:szCs w:val="18"/>
              </w:rPr>
              <w:t>Low quality-housing is more common in the private rented sector</w:t>
            </w:r>
          </w:p>
        </w:tc>
      </w:tr>
      <w:tr w:rsidR="009F2080" w14:paraId="6A4D571E" w14:textId="77777777" w:rsidTr="00020B31">
        <w:tc>
          <w:tcPr>
            <w:tcW w:w="581" w:type="dxa"/>
          </w:tcPr>
          <w:p w14:paraId="72A90EC4" w14:textId="77777777" w:rsidR="009F2080" w:rsidRPr="00AC016D" w:rsidRDefault="009F2080" w:rsidP="00020B31">
            <w:pPr>
              <w:rPr>
                <w:sz w:val="18"/>
                <w:szCs w:val="18"/>
              </w:rPr>
            </w:pPr>
            <w:r w:rsidRPr="00287DA3">
              <w:rPr>
                <w:sz w:val="18"/>
                <w:szCs w:val="18"/>
              </w:rPr>
              <w:t>1.2.</w:t>
            </w:r>
            <w:r>
              <w:rPr>
                <w:sz w:val="18"/>
                <w:szCs w:val="18"/>
              </w:rPr>
              <w:t>3</w:t>
            </w:r>
          </w:p>
        </w:tc>
        <w:tc>
          <w:tcPr>
            <w:tcW w:w="2018" w:type="dxa"/>
          </w:tcPr>
          <w:p w14:paraId="5AA860F3" w14:textId="77777777" w:rsidR="009F2080" w:rsidRPr="00AC016D" w:rsidRDefault="009F2080" w:rsidP="00020B31">
            <w:pPr>
              <w:rPr>
                <w:sz w:val="18"/>
                <w:szCs w:val="18"/>
              </w:rPr>
            </w:pPr>
            <w:r w:rsidRPr="00AC016D">
              <w:rPr>
                <w:sz w:val="18"/>
                <w:szCs w:val="18"/>
              </w:rPr>
              <w:t>Social renting</w:t>
            </w:r>
          </w:p>
        </w:tc>
        <w:tc>
          <w:tcPr>
            <w:tcW w:w="5760" w:type="dxa"/>
          </w:tcPr>
          <w:p w14:paraId="089C2BEA" w14:textId="77777777" w:rsidR="009F2080" w:rsidRPr="00AC016D" w:rsidRDefault="009F2080" w:rsidP="00020B31">
            <w:pPr>
              <w:rPr>
                <w:sz w:val="18"/>
                <w:szCs w:val="18"/>
              </w:rPr>
            </w:pPr>
            <w:r w:rsidRPr="00AC016D">
              <w:rPr>
                <w:sz w:val="18"/>
                <w:szCs w:val="18"/>
              </w:rPr>
              <w:t>Social renting is more prevalent among Black and Bangladeshi Londoners than other ethnicities. Private renting is relatively more widespread among nonBritish/white Irish Londoners, and people from the other Asian and other ethnic groups</w:t>
            </w:r>
          </w:p>
        </w:tc>
      </w:tr>
      <w:tr w:rsidR="009F2080" w14:paraId="145E9B0D" w14:textId="77777777" w:rsidTr="00020B31">
        <w:tc>
          <w:tcPr>
            <w:tcW w:w="581" w:type="dxa"/>
          </w:tcPr>
          <w:p w14:paraId="3414130F" w14:textId="77777777" w:rsidR="009F2080" w:rsidRPr="00AC016D" w:rsidRDefault="009F2080" w:rsidP="00020B31">
            <w:pPr>
              <w:rPr>
                <w:sz w:val="18"/>
                <w:szCs w:val="18"/>
              </w:rPr>
            </w:pPr>
            <w:r w:rsidRPr="00287DA3">
              <w:rPr>
                <w:sz w:val="18"/>
                <w:szCs w:val="18"/>
              </w:rPr>
              <w:t>1.2.</w:t>
            </w:r>
            <w:r>
              <w:rPr>
                <w:sz w:val="18"/>
                <w:szCs w:val="18"/>
              </w:rPr>
              <w:t>4</w:t>
            </w:r>
          </w:p>
        </w:tc>
        <w:tc>
          <w:tcPr>
            <w:tcW w:w="2018" w:type="dxa"/>
          </w:tcPr>
          <w:p w14:paraId="012BF547" w14:textId="77777777" w:rsidR="009F2080" w:rsidRPr="00AC016D" w:rsidRDefault="009F2080" w:rsidP="00020B31">
            <w:pPr>
              <w:rPr>
                <w:sz w:val="18"/>
                <w:szCs w:val="18"/>
              </w:rPr>
            </w:pPr>
            <w:r w:rsidRPr="00AC016D">
              <w:rPr>
                <w:sz w:val="18"/>
                <w:szCs w:val="18"/>
              </w:rPr>
              <w:t>Private renting</w:t>
            </w:r>
          </w:p>
        </w:tc>
        <w:tc>
          <w:tcPr>
            <w:tcW w:w="5760" w:type="dxa"/>
          </w:tcPr>
          <w:p w14:paraId="0E6D5B92" w14:textId="77777777" w:rsidR="009F2080" w:rsidRPr="00AC016D" w:rsidRDefault="009F2080" w:rsidP="00020B31">
            <w:pPr>
              <w:rPr>
                <w:sz w:val="18"/>
                <w:szCs w:val="18"/>
              </w:rPr>
            </w:pPr>
            <w:r w:rsidRPr="00AC016D">
              <w:rPr>
                <w:sz w:val="18"/>
                <w:szCs w:val="18"/>
              </w:rPr>
              <w:t>Younger, lower-income and disabled Londoners, as well as recent migrants to London, are more likely to be renting</w:t>
            </w:r>
          </w:p>
        </w:tc>
      </w:tr>
      <w:tr w:rsidR="009F2080" w14:paraId="3524EFE4" w14:textId="77777777" w:rsidTr="00020B31">
        <w:tc>
          <w:tcPr>
            <w:tcW w:w="581" w:type="dxa"/>
          </w:tcPr>
          <w:p w14:paraId="0C6F0ABE" w14:textId="77777777" w:rsidR="009F2080" w:rsidRPr="00AC016D" w:rsidRDefault="009F2080" w:rsidP="00020B31">
            <w:pPr>
              <w:rPr>
                <w:sz w:val="18"/>
                <w:szCs w:val="18"/>
              </w:rPr>
            </w:pPr>
            <w:r w:rsidRPr="00287DA3">
              <w:rPr>
                <w:sz w:val="18"/>
                <w:szCs w:val="18"/>
              </w:rPr>
              <w:t>1.2.</w:t>
            </w:r>
            <w:r>
              <w:rPr>
                <w:sz w:val="18"/>
                <w:szCs w:val="18"/>
              </w:rPr>
              <w:t>5</w:t>
            </w:r>
          </w:p>
        </w:tc>
        <w:tc>
          <w:tcPr>
            <w:tcW w:w="2018" w:type="dxa"/>
          </w:tcPr>
          <w:p w14:paraId="1AFBE205" w14:textId="77777777" w:rsidR="009F2080" w:rsidRPr="00AC016D" w:rsidRDefault="009F2080" w:rsidP="00020B31">
            <w:pPr>
              <w:rPr>
                <w:sz w:val="18"/>
                <w:szCs w:val="18"/>
              </w:rPr>
            </w:pPr>
            <w:r w:rsidRPr="00AC016D">
              <w:rPr>
                <w:sz w:val="18"/>
                <w:szCs w:val="18"/>
              </w:rPr>
              <w:t>Overcrowding</w:t>
            </w:r>
          </w:p>
        </w:tc>
        <w:tc>
          <w:tcPr>
            <w:tcW w:w="5760" w:type="dxa"/>
          </w:tcPr>
          <w:p w14:paraId="4C1AA47B" w14:textId="77777777" w:rsidR="009F2080" w:rsidRPr="00AC016D" w:rsidRDefault="009F2080" w:rsidP="00020B31">
            <w:pPr>
              <w:rPr>
                <w:sz w:val="18"/>
                <w:szCs w:val="18"/>
              </w:rPr>
            </w:pPr>
            <w:r w:rsidRPr="00AC016D">
              <w:rPr>
                <w:sz w:val="18"/>
                <w:szCs w:val="18"/>
              </w:rPr>
              <w:t>Overcrowding is more common in London’s Bangladeshi, Black African and Pakistani households</w:t>
            </w:r>
          </w:p>
        </w:tc>
      </w:tr>
      <w:tr w:rsidR="009F2080" w14:paraId="2BA992E2" w14:textId="77777777" w:rsidTr="00020B31">
        <w:tc>
          <w:tcPr>
            <w:tcW w:w="581" w:type="dxa"/>
          </w:tcPr>
          <w:p w14:paraId="6513E0E2" w14:textId="77777777" w:rsidR="009F2080" w:rsidRPr="00AC016D" w:rsidRDefault="009F2080" w:rsidP="00020B31">
            <w:pPr>
              <w:rPr>
                <w:sz w:val="18"/>
                <w:szCs w:val="18"/>
              </w:rPr>
            </w:pPr>
            <w:r w:rsidRPr="003E7E0C">
              <w:rPr>
                <w:sz w:val="18"/>
                <w:szCs w:val="18"/>
              </w:rPr>
              <w:t>1.2.</w:t>
            </w:r>
            <w:r>
              <w:rPr>
                <w:sz w:val="18"/>
                <w:szCs w:val="18"/>
              </w:rPr>
              <w:t>6</w:t>
            </w:r>
          </w:p>
        </w:tc>
        <w:tc>
          <w:tcPr>
            <w:tcW w:w="2018" w:type="dxa"/>
          </w:tcPr>
          <w:p w14:paraId="46A71CE3" w14:textId="77777777" w:rsidR="009F2080" w:rsidRPr="00AC016D" w:rsidRDefault="009F2080" w:rsidP="00020B31">
            <w:pPr>
              <w:rPr>
                <w:sz w:val="18"/>
                <w:szCs w:val="18"/>
              </w:rPr>
            </w:pPr>
            <w:r w:rsidRPr="00AC016D">
              <w:rPr>
                <w:sz w:val="18"/>
                <w:szCs w:val="18"/>
              </w:rPr>
              <w:t>Challenges in different groups</w:t>
            </w:r>
          </w:p>
        </w:tc>
        <w:tc>
          <w:tcPr>
            <w:tcW w:w="5760" w:type="dxa"/>
          </w:tcPr>
          <w:p w14:paraId="140C01B1" w14:textId="77777777" w:rsidR="009F2080" w:rsidRPr="00AC016D" w:rsidRDefault="009F2080" w:rsidP="00020B31">
            <w:pPr>
              <w:rPr>
                <w:sz w:val="18"/>
                <w:szCs w:val="18"/>
              </w:rPr>
            </w:pPr>
            <w:r w:rsidRPr="00AC016D">
              <w:rPr>
                <w:sz w:val="18"/>
                <w:szCs w:val="18"/>
              </w:rPr>
              <w:t>Many groups face distinctive challenges around housing, including disabled Londoners, migrants, refugees and asylum seekers, Gypsies and Irish travellers and older BAME and LGBT Londoners</w:t>
            </w:r>
          </w:p>
        </w:tc>
      </w:tr>
      <w:tr w:rsidR="009F2080" w14:paraId="2193181A" w14:textId="77777777" w:rsidTr="00020B31">
        <w:tc>
          <w:tcPr>
            <w:tcW w:w="581" w:type="dxa"/>
          </w:tcPr>
          <w:p w14:paraId="2374A8B1" w14:textId="77777777" w:rsidR="009F2080" w:rsidRPr="00AC016D" w:rsidRDefault="009F2080" w:rsidP="00020B31">
            <w:pPr>
              <w:rPr>
                <w:sz w:val="18"/>
                <w:szCs w:val="18"/>
              </w:rPr>
            </w:pPr>
            <w:r w:rsidRPr="003E7E0C">
              <w:rPr>
                <w:sz w:val="18"/>
                <w:szCs w:val="18"/>
              </w:rPr>
              <w:t>1.2.</w:t>
            </w:r>
            <w:r>
              <w:rPr>
                <w:sz w:val="18"/>
                <w:szCs w:val="18"/>
              </w:rPr>
              <w:t>7</w:t>
            </w:r>
          </w:p>
        </w:tc>
        <w:tc>
          <w:tcPr>
            <w:tcW w:w="2018" w:type="dxa"/>
          </w:tcPr>
          <w:p w14:paraId="4D7857CE" w14:textId="77777777" w:rsidR="009F2080" w:rsidRPr="00AC016D" w:rsidRDefault="009F2080" w:rsidP="00020B31">
            <w:pPr>
              <w:rPr>
                <w:sz w:val="18"/>
                <w:szCs w:val="18"/>
              </w:rPr>
            </w:pPr>
            <w:r w:rsidRPr="00AC016D">
              <w:rPr>
                <w:sz w:val="18"/>
                <w:szCs w:val="18"/>
              </w:rPr>
              <w:t>Homelessness and rough sleeping</w:t>
            </w:r>
          </w:p>
        </w:tc>
        <w:tc>
          <w:tcPr>
            <w:tcW w:w="5760" w:type="dxa"/>
          </w:tcPr>
          <w:p w14:paraId="1CCD5AF2" w14:textId="77777777" w:rsidR="009F2080" w:rsidRPr="00AC016D" w:rsidRDefault="009F2080" w:rsidP="00020B31">
            <w:pPr>
              <w:rPr>
                <w:sz w:val="18"/>
                <w:szCs w:val="18"/>
              </w:rPr>
            </w:pPr>
            <w:r w:rsidRPr="00AC016D">
              <w:rPr>
                <w:sz w:val="18"/>
                <w:szCs w:val="18"/>
              </w:rPr>
              <w:t>The majority of rough sleepers in London are men. Non-UK nationals are overrepresented among rough sleepers.</w:t>
            </w:r>
          </w:p>
          <w:p w14:paraId="0D26B8FA" w14:textId="77777777" w:rsidR="009F2080" w:rsidRPr="00AC016D" w:rsidRDefault="009F2080" w:rsidP="00020B31">
            <w:pPr>
              <w:rPr>
                <w:sz w:val="18"/>
                <w:szCs w:val="18"/>
              </w:rPr>
            </w:pPr>
            <w:r w:rsidRPr="00AC016D">
              <w:rPr>
                <w:sz w:val="18"/>
                <w:szCs w:val="18"/>
              </w:rPr>
              <w:t>Refugees and youth (and young LGBT people in particular) face issues around becoming homeless, the impact of homelessness, and transitions into secure housing</w:t>
            </w:r>
          </w:p>
        </w:tc>
      </w:tr>
      <w:tr w:rsidR="009F2080" w14:paraId="479A931F" w14:textId="77777777" w:rsidTr="00020B31">
        <w:tc>
          <w:tcPr>
            <w:tcW w:w="581" w:type="dxa"/>
          </w:tcPr>
          <w:p w14:paraId="231069A6" w14:textId="77777777" w:rsidR="009F2080" w:rsidRPr="00AC016D" w:rsidRDefault="009F2080" w:rsidP="00020B31">
            <w:pPr>
              <w:rPr>
                <w:sz w:val="18"/>
                <w:szCs w:val="18"/>
              </w:rPr>
            </w:pPr>
            <w:r w:rsidRPr="003E7E0C">
              <w:rPr>
                <w:sz w:val="18"/>
                <w:szCs w:val="18"/>
              </w:rPr>
              <w:t>1.2.</w:t>
            </w:r>
            <w:r>
              <w:rPr>
                <w:sz w:val="18"/>
                <w:szCs w:val="18"/>
              </w:rPr>
              <w:t>8</w:t>
            </w:r>
          </w:p>
        </w:tc>
        <w:tc>
          <w:tcPr>
            <w:tcW w:w="2018" w:type="dxa"/>
          </w:tcPr>
          <w:p w14:paraId="47B1D4BB" w14:textId="77777777" w:rsidR="009F2080" w:rsidRPr="00AC016D" w:rsidRDefault="009F2080" w:rsidP="00020B31">
            <w:pPr>
              <w:rPr>
                <w:sz w:val="18"/>
                <w:szCs w:val="18"/>
              </w:rPr>
            </w:pPr>
            <w:r w:rsidRPr="00AC016D">
              <w:rPr>
                <w:sz w:val="18"/>
                <w:szCs w:val="18"/>
              </w:rPr>
              <w:t>Built environment</w:t>
            </w:r>
          </w:p>
        </w:tc>
        <w:tc>
          <w:tcPr>
            <w:tcW w:w="5760" w:type="dxa"/>
          </w:tcPr>
          <w:p w14:paraId="0C3AD218" w14:textId="77777777" w:rsidR="009F2080" w:rsidRPr="00AC016D" w:rsidRDefault="009F2080" w:rsidP="00020B31">
            <w:pPr>
              <w:rPr>
                <w:sz w:val="18"/>
                <w:szCs w:val="18"/>
              </w:rPr>
            </w:pPr>
            <w:r w:rsidRPr="00AC016D">
              <w:rPr>
                <w:sz w:val="18"/>
                <w:szCs w:val="18"/>
              </w:rPr>
              <w:t>Disabled and older Londoners face barriers in accessing London’s built environment, as a result of street design and clutter, a lack of dedicated parking, and a few accessible and specialised public toilets. Older Londoners are at risk of social isolation due to physical barriers preventing them from experiencing the city in full</w:t>
            </w:r>
          </w:p>
        </w:tc>
      </w:tr>
    </w:tbl>
    <w:p w14:paraId="100AF324" w14:textId="3C62C5A3" w:rsidR="009F2080" w:rsidRDefault="009A15DF" w:rsidP="009F2080">
      <w:r>
        <w:t>Table 1.2</w:t>
      </w:r>
    </w:p>
    <w:p w14:paraId="0F1E6E9E" w14:textId="77777777" w:rsidR="009F2080" w:rsidRDefault="009F2080" w:rsidP="009F2080">
      <w:r>
        <w:t xml:space="preserve">To note that for criterion 1.2.8 we have included guidelines from </w:t>
      </w:r>
      <w:hyperlink r:id="rId10" w:history="1">
        <w:r w:rsidRPr="00884C25">
          <w:rPr>
            <w:rStyle w:val="Hyperlink"/>
          </w:rPr>
          <w:t>https://assets.publishing.service.gov.uk/government/uploads/system/uploads/attachment_data/file/954467/Part_M_Report_with_appendices.pdf</w:t>
        </w:r>
      </w:hyperlink>
      <w:r>
        <w:t xml:space="preserve"> and </w:t>
      </w:r>
      <w:r w:rsidRPr="00337F09">
        <w:t>https://www.gov.uk/government/publications/access-to-and-use-of-buildings-approved-document-m</w:t>
      </w:r>
    </w:p>
    <w:p w14:paraId="1D866244" w14:textId="77777777" w:rsidR="009F2080" w:rsidRDefault="009F2080" w:rsidP="009F2080"/>
    <w:p w14:paraId="47748D64" w14:textId="77777777" w:rsidR="009F2080" w:rsidRDefault="009F2080" w:rsidP="009F2080">
      <w:pPr>
        <w:pStyle w:val="Heading3"/>
      </w:pPr>
      <w:r>
        <w:lastRenderedPageBreak/>
        <w:t>1.3 Citizenship Survey Identity and Values Topic Report</w:t>
      </w:r>
    </w:p>
    <w:tbl>
      <w:tblPr>
        <w:tblStyle w:val="TableGrid"/>
        <w:tblW w:w="8359" w:type="dxa"/>
        <w:tblLook w:val="04A0" w:firstRow="1" w:lastRow="0" w:firstColumn="1" w:lastColumn="0" w:noHBand="0" w:noVBand="1"/>
      </w:tblPr>
      <w:tblGrid>
        <w:gridCol w:w="581"/>
        <w:gridCol w:w="2015"/>
        <w:gridCol w:w="5763"/>
      </w:tblGrid>
      <w:tr w:rsidR="009F2080" w14:paraId="437E9C3C" w14:textId="77777777" w:rsidTr="00020B31">
        <w:tc>
          <w:tcPr>
            <w:tcW w:w="581" w:type="dxa"/>
          </w:tcPr>
          <w:p w14:paraId="5D610221" w14:textId="77777777" w:rsidR="009F2080" w:rsidRDefault="009F2080" w:rsidP="00020B31"/>
        </w:tc>
        <w:tc>
          <w:tcPr>
            <w:tcW w:w="2015" w:type="dxa"/>
            <w:shd w:val="clear" w:color="auto" w:fill="4472C4" w:themeFill="accent1"/>
          </w:tcPr>
          <w:p w14:paraId="6D9B8CCB" w14:textId="77777777" w:rsidR="009F2080" w:rsidRPr="00FB24FB" w:rsidRDefault="009F2080" w:rsidP="00020B31">
            <w:pPr>
              <w:rPr>
                <w:b/>
                <w:bCs/>
              </w:rPr>
            </w:pPr>
            <w:r w:rsidRPr="00FB24FB">
              <w:rPr>
                <w:b/>
                <w:bCs/>
              </w:rPr>
              <w:t>Value</w:t>
            </w:r>
          </w:p>
        </w:tc>
        <w:tc>
          <w:tcPr>
            <w:tcW w:w="5763" w:type="dxa"/>
            <w:shd w:val="clear" w:color="auto" w:fill="4472C4" w:themeFill="accent1"/>
          </w:tcPr>
          <w:p w14:paraId="03753BAA" w14:textId="77777777" w:rsidR="009F2080" w:rsidRPr="00FB24FB" w:rsidRDefault="009F2080" w:rsidP="00020B31">
            <w:pPr>
              <w:rPr>
                <w:b/>
                <w:bCs/>
              </w:rPr>
            </w:pPr>
            <w:r w:rsidRPr="00FB24FB">
              <w:rPr>
                <w:b/>
                <w:bCs/>
              </w:rPr>
              <w:t>comment</w:t>
            </w:r>
          </w:p>
        </w:tc>
      </w:tr>
      <w:tr w:rsidR="009F2080" w14:paraId="7110DF8D" w14:textId="77777777" w:rsidTr="00020B31">
        <w:tc>
          <w:tcPr>
            <w:tcW w:w="581" w:type="dxa"/>
          </w:tcPr>
          <w:p w14:paraId="6B3C7B77" w14:textId="77777777" w:rsidR="009F2080" w:rsidRPr="00A16777" w:rsidRDefault="009F2080" w:rsidP="00020B31">
            <w:pPr>
              <w:rPr>
                <w:sz w:val="18"/>
                <w:szCs w:val="18"/>
              </w:rPr>
            </w:pPr>
            <w:r w:rsidRPr="00A16777">
              <w:rPr>
                <w:sz w:val="18"/>
                <w:szCs w:val="18"/>
              </w:rPr>
              <w:t>1</w:t>
            </w:r>
            <w:r>
              <w:rPr>
                <w:sz w:val="18"/>
                <w:szCs w:val="18"/>
              </w:rPr>
              <w:t>.3.1</w:t>
            </w:r>
          </w:p>
        </w:tc>
        <w:tc>
          <w:tcPr>
            <w:tcW w:w="2015" w:type="dxa"/>
          </w:tcPr>
          <w:p w14:paraId="0A5983FD" w14:textId="77777777" w:rsidR="009F2080" w:rsidRPr="00A16777" w:rsidRDefault="009F2080" w:rsidP="00020B31">
            <w:pPr>
              <w:rPr>
                <w:sz w:val="18"/>
                <w:szCs w:val="18"/>
              </w:rPr>
            </w:pPr>
            <w:r w:rsidRPr="00A16777">
              <w:rPr>
                <w:sz w:val="18"/>
                <w:szCs w:val="18"/>
              </w:rPr>
              <w:t xml:space="preserve">respect for the law </w:t>
            </w:r>
          </w:p>
        </w:tc>
        <w:tc>
          <w:tcPr>
            <w:tcW w:w="5763" w:type="dxa"/>
          </w:tcPr>
          <w:p w14:paraId="272928D9" w14:textId="77777777" w:rsidR="009F2080" w:rsidRPr="00A16777" w:rsidRDefault="009F2080" w:rsidP="00020B31">
            <w:pPr>
              <w:rPr>
                <w:sz w:val="18"/>
                <w:szCs w:val="18"/>
              </w:rPr>
            </w:pPr>
            <w:r w:rsidRPr="00A16777">
              <w:rPr>
                <w:sz w:val="18"/>
                <w:szCs w:val="18"/>
              </w:rPr>
              <w:t>Among highest across all groups</w:t>
            </w:r>
          </w:p>
        </w:tc>
      </w:tr>
      <w:tr w:rsidR="009F2080" w14:paraId="000652F6" w14:textId="77777777" w:rsidTr="00020B31">
        <w:tc>
          <w:tcPr>
            <w:tcW w:w="581" w:type="dxa"/>
          </w:tcPr>
          <w:p w14:paraId="2F5D1272" w14:textId="77777777" w:rsidR="009F2080" w:rsidRPr="00A16777" w:rsidRDefault="009F2080" w:rsidP="00020B31">
            <w:pPr>
              <w:rPr>
                <w:sz w:val="18"/>
                <w:szCs w:val="18"/>
              </w:rPr>
            </w:pPr>
            <w:r w:rsidRPr="003227CB">
              <w:rPr>
                <w:sz w:val="18"/>
                <w:szCs w:val="18"/>
              </w:rPr>
              <w:t>1.3.</w:t>
            </w:r>
            <w:r>
              <w:rPr>
                <w:sz w:val="18"/>
                <w:szCs w:val="18"/>
              </w:rPr>
              <w:t>2</w:t>
            </w:r>
          </w:p>
        </w:tc>
        <w:tc>
          <w:tcPr>
            <w:tcW w:w="2015" w:type="dxa"/>
          </w:tcPr>
          <w:p w14:paraId="20995A63" w14:textId="77777777" w:rsidR="009F2080" w:rsidRPr="00A16777" w:rsidRDefault="009F2080" w:rsidP="00020B31">
            <w:pPr>
              <w:rPr>
                <w:sz w:val="18"/>
                <w:szCs w:val="18"/>
              </w:rPr>
            </w:pPr>
            <w:r w:rsidRPr="00A16777">
              <w:rPr>
                <w:sz w:val="18"/>
                <w:szCs w:val="18"/>
              </w:rPr>
              <w:t>tolerance and politeness towards</w:t>
            </w:r>
            <w:r>
              <w:rPr>
                <w:sz w:val="18"/>
                <w:szCs w:val="18"/>
              </w:rPr>
              <w:t xml:space="preserve"> </w:t>
            </w:r>
            <w:r w:rsidRPr="00A16777">
              <w:rPr>
                <w:sz w:val="18"/>
                <w:szCs w:val="18"/>
              </w:rPr>
              <w:t>others</w:t>
            </w:r>
          </w:p>
        </w:tc>
        <w:tc>
          <w:tcPr>
            <w:tcW w:w="5763" w:type="dxa"/>
          </w:tcPr>
          <w:p w14:paraId="362D3991" w14:textId="77777777" w:rsidR="009F2080" w:rsidRPr="00A16777" w:rsidRDefault="009F2080" w:rsidP="00020B31">
            <w:pPr>
              <w:rPr>
                <w:sz w:val="18"/>
                <w:szCs w:val="18"/>
              </w:rPr>
            </w:pPr>
            <w:r w:rsidRPr="00A16777">
              <w:rPr>
                <w:sz w:val="18"/>
                <w:szCs w:val="18"/>
              </w:rPr>
              <w:t>Am</w:t>
            </w:r>
            <w:r>
              <w:rPr>
                <w:sz w:val="18"/>
                <w:szCs w:val="18"/>
              </w:rPr>
              <w:t>o</w:t>
            </w:r>
            <w:r w:rsidRPr="00A16777">
              <w:rPr>
                <w:sz w:val="18"/>
                <w:szCs w:val="18"/>
              </w:rPr>
              <w:t>ng highest across all groups</w:t>
            </w:r>
          </w:p>
        </w:tc>
      </w:tr>
      <w:tr w:rsidR="009F2080" w14:paraId="44C0505E" w14:textId="77777777" w:rsidTr="00020B31">
        <w:tc>
          <w:tcPr>
            <w:tcW w:w="581" w:type="dxa"/>
          </w:tcPr>
          <w:p w14:paraId="0DA94E55" w14:textId="77777777" w:rsidR="009F2080" w:rsidRPr="00A16777" w:rsidRDefault="009F2080" w:rsidP="00020B31">
            <w:pPr>
              <w:rPr>
                <w:sz w:val="18"/>
                <w:szCs w:val="18"/>
              </w:rPr>
            </w:pPr>
            <w:r w:rsidRPr="003227CB">
              <w:rPr>
                <w:sz w:val="18"/>
                <w:szCs w:val="18"/>
              </w:rPr>
              <w:t>1.3.</w:t>
            </w:r>
            <w:r>
              <w:rPr>
                <w:sz w:val="18"/>
                <w:szCs w:val="18"/>
              </w:rPr>
              <w:t>3</w:t>
            </w:r>
          </w:p>
        </w:tc>
        <w:tc>
          <w:tcPr>
            <w:tcW w:w="2015" w:type="dxa"/>
          </w:tcPr>
          <w:p w14:paraId="332ED7BE" w14:textId="77777777" w:rsidR="009F2080" w:rsidRPr="00A16777" w:rsidRDefault="009F2080" w:rsidP="00020B31">
            <w:pPr>
              <w:rPr>
                <w:sz w:val="18"/>
                <w:szCs w:val="18"/>
              </w:rPr>
            </w:pPr>
            <w:r w:rsidRPr="00A16777">
              <w:rPr>
                <w:sz w:val="18"/>
                <w:szCs w:val="18"/>
              </w:rPr>
              <w:t>equality of opportunity</w:t>
            </w:r>
          </w:p>
        </w:tc>
        <w:tc>
          <w:tcPr>
            <w:tcW w:w="5763" w:type="dxa"/>
          </w:tcPr>
          <w:p w14:paraId="27175262" w14:textId="77777777" w:rsidR="009F2080" w:rsidRPr="00A16777" w:rsidRDefault="009F2080" w:rsidP="00020B31">
            <w:pPr>
              <w:rPr>
                <w:sz w:val="18"/>
                <w:szCs w:val="18"/>
              </w:rPr>
            </w:pPr>
            <w:r w:rsidRPr="00A16777">
              <w:rPr>
                <w:sz w:val="18"/>
                <w:szCs w:val="18"/>
              </w:rPr>
              <w:t>most commonly cited amongst 16 to 24 year olds</w:t>
            </w:r>
          </w:p>
        </w:tc>
      </w:tr>
      <w:tr w:rsidR="009F2080" w14:paraId="51C866D2" w14:textId="77777777" w:rsidTr="00020B31">
        <w:tc>
          <w:tcPr>
            <w:tcW w:w="581" w:type="dxa"/>
          </w:tcPr>
          <w:p w14:paraId="20D80D07" w14:textId="77777777" w:rsidR="009F2080" w:rsidRPr="00A16777" w:rsidRDefault="009F2080" w:rsidP="00020B31">
            <w:pPr>
              <w:rPr>
                <w:sz w:val="18"/>
                <w:szCs w:val="18"/>
              </w:rPr>
            </w:pPr>
            <w:r w:rsidRPr="003227CB">
              <w:rPr>
                <w:sz w:val="18"/>
                <w:szCs w:val="18"/>
              </w:rPr>
              <w:t>1.3.</w:t>
            </w:r>
            <w:r>
              <w:rPr>
                <w:sz w:val="18"/>
                <w:szCs w:val="18"/>
              </w:rPr>
              <w:t>4</w:t>
            </w:r>
          </w:p>
        </w:tc>
        <w:tc>
          <w:tcPr>
            <w:tcW w:w="2015" w:type="dxa"/>
          </w:tcPr>
          <w:p w14:paraId="1B788815" w14:textId="77777777" w:rsidR="009F2080" w:rsidRPr="00A16777" w:rsidRDefault="009F2080" w:rsidP="00020B31">
            <w:pPr>
              <w:rPr>
                <w:sz w:val="18"/>
                <w:szCs w:val="18"/>
              </w:rPr>
            </w:pPr>
            <w:r w:rsidRPr="00A16777">
              <w:rPr>
                <w:sz w:val="18"/>
                <w:szCs w:val="18"/>
              </w:rPr>
              <w:t>respect for the</w:t>
            </w:r>
            <w:r>
              <w:rPr>
                <w:sz w:val="18"/>
                <w:szCs w:val="18"/>
              </w:rPr>
              <w:t xml:space="preserve"> </w:t>
            </w:r>
            <w:r w:rsidRPr="00A16777">
              <w:rPr>
                <w:sz w:val="18"/>
                <w:szCs w:val="18"/>
              </w:rPr>
              <w:t>law</w:t>
            </w:r>
          </w:p>
        </w:tc>
        <w:tc>
          <w:tcPr>
            <w:tcW w:w="5763" w:type="dxa"/>
          </w:tcPr>
          <w:p w14:paraId="7A094C7E" w14:textId="77777777" w:rsidR="009F2080" w:rsidRPr="00A16777" w:rsidRDefault="009F2080" w:rsidP="00020B31">
            <w:pPr>
              <w:rPr>
                <w:sz w:val="18"/>
                <w:szCs w:val="18"/>
              </w:rPr>
            </w:pPr>
            <w:r w:rsidRPr="00A16777">
              <w:rPr>
                <w:sz w:val="18"/>
                <w:szCs w:val="18"/>
              </w:rPr>
              <w:t>most commonly cited amongst 16 to 24 year olds</w:t>
            </w:r>
          </w:p>
        </w:tc>
      </w:tr>
      <w:tr w:rsidR="009F2080" w14:paraId="143B1A1A" w14:textId="77777777" w:rsidTr="00020B31">
        <w:tc>
          <w:tcPr>
            <w:tcW w:w="581" w:type="dxa"/>
          </w:tcPr>
          <w:p w14:paraId="101D799B" w14:textId="77777777" w:rsidR="009F2080" w:rsidRPr="00A16777" w:rsidRDefault="009F2080" w:rsidP="00020B31">
            <w:pPr>
              <w:rPr>
                <w:sz w:val="18"/>
                <w:szCs w:val="18"/>
              </w:rPr>
            </w:pPr>
            <w:r w:rsidRPr="003227CB">
              <w:rPr>
                <w:sz w:val="18"/>
                <w:szCs w:val="18"/>
              </w:rPr>
              <w:t>1.3.</w:t>
            </w:r>
            <w:r>
              <w:rPr>
                <w:sz w:val="18"/>
                <w:szCs w:val="18"/>
              </w:rPr>
              <w:t>5</w:t>
            </w:r>
          </w:p>
        </w:tc>
        <w:tc>
          <w:tcPr>
            <w:tcW w:w="2015" w:type="dxa"/>
          </w:tcPr>
          <w:p w14:paraId="55CEF7B0" w14:textId="77777777" w:rsidR="009F2080" w:rsidRPr="00A16777" w:rsidRDefault="009F2080" w:rsidP="00020B31">
            <w:pPr>
              <w:rPr>
                <w:sz w:val="18"/>
                <w:szCs w:val="18"/>
              </w:rPr>
            </w:pPr>
            <w:r w:rsidRPr="00A16777">
              <w:rPr>
                <w:sz w:val="18"/>
                <w:szCs w:val="18"/>
              </w:rPr>
              <w:t>Respect for people</w:t>
            </w:r>
          </w:p>
          <w:p w14:paraId="0001069D" w14:textId="77777777" w:rsidR="009F2080" w:rsidRPr="00A16777" w:rsidRDefault="009F2080" w:rsidP="00020B31">
            <w:pPr>
              <w:rPr>
                <w:sz w:val="18"/>
                <w:szCs w:val="18"/>
              </w:rPr>
            </w:pPr>
            <w:r w:rsidRPr="00A16777">
              <w:rPr>
                <w:sz w:val="18"/>
                <w:szCs w:val="18"/>
              </w:rPr>
              <w:t>from different ethnic groups</w:t>
            </w:r>
          </w:p>
        </w:tc>
        <w:tc>
          <w:tcPr>
            <w:tcW w:w="5763" w:type="dxa"/>
          </w:tcPr>
          <w:p w14:paraId="4267692F" w14:textId="77777777" w:rsidR="009F2080" w:rsidRPr="00A16777" w:rsidRDefault="009F2080" w:rsidP="00020B31">
            <w:pPr>
              <w:rPr>
                <w:sz w:val="18"/>
                <w:szCs w:val="18"/>
              </w:rPr>
            </w:pPr>
            <w:r w:rsidRPr="00A16777">
              <w:rPr>
                <w:sz w:val="18"/>
                <w:szCs w:val="18"/>
              </w:rPr>
              <w:t>Most commonly cited among younger population: aged 16 to 24 (42%) were the more likely to say this than those aged 35 to 49 (37%), 50 to 64 (32%), 65 to 74 (25%) and 75 or over (25%).</w:t>
            </w:r>
          </w:p>
        </w:tc>
      </w:tr>
      <w:tr w:rsidR="009F2080" w14:paraId="7ADC11B1" w14:textId="77777777" w:rsidTr="00020B31">
        <w:tc>
          <w:tcPr>
            <w:tcW w:w="581" w:type="dxa"/>
          </w:tcPr>
          <w:p w14:paraId="3A65199C" w14:textId="77777777" w:rsidR="009F2080" w:rsidRPr="00A16777" w:rsidRDefault="009F2080" w:rsidP="00020B31">
            <w:pPr>
              <w:rPr>
                <w:sz w:val="18"/>
                <w:szCs w:val="18"/>
              </w:rPr>
            </w:pPr>
            <w:r w:rsidRPr="003227CB">
              <w:rPr>
                <w:sz w:val="18"/>
                <w:szCs w:val="18"/>
              </w:rPr>
              <w:t>1.3.</w:t>
            </w:r>
            <w:r>
              <w:rPr>
                <w:sz w:val="18"/>
                <w:szCs w:val="18"/>
              </w:rPr>
              <w:t>6</w:t>
            </w:r>
          </w:p>
        </w:tc>
        <w:tc>
          <w:tcPr>
            <w:tcW w:w="2015" w:type="dxa"/>
          </w:tcPr>
          <w:p w14:paraId="5394380F" w14:textId="77777777" w:rsidR="009F2080" w:rsidRPr="00A16777" w:rsidRDefault="009F2080" w:rsidP="00020B31">
            <w:pPr>
              <w:rPr>
                <w:sz w:val="18"/>
                <w:szCs w:val="18"/>
              </w:rPr>
            </w:pPr>
            <w:r w:rsidRPr="00A16777">
              <w:rPr>
                <w:sz w:val="18"/>
                <w:szCs w:val="18"/>
              </w:rPr>
              <w:t>Freedom of speech or expression</w:t>
            </w:r>
          </w:p>
        </w:tc>
        <w:tc>
          <w:tcPr>
            <w:tcW w:w="5763" w:type="dxa"/>
          </w:tcPr>
          <w:p w14:paraId="78376EBD" w14:textId="77777777" w:rsidR="009F2080" w:rsidRPr="00A16777" w:rsidRDefault="009F2080" w:rsidP="00020B31">
            <w:pPr>
              <w:rPr>
                <w:sz w:val="18"/>
                <w:szCs w:val="18"/>
              </w:rPr>
            </w:pPr>
            <w:r w:rsidRPr="00A16777">
              <w:rPr>
                <w:sz w:val="18"/>
                <w:szCs w:val="18"/>
              </w:rPr>
              <w:t>Most commonly cited among younger population.</w:t>
            </w:r>
          </w:p>
          <w:p w14:paraId="01A039F5" w14:textId="77777777" w:rsidR="009F2080" w:rsidRPr="00A16777" w:rsidRDefault="009F2080" w:rsidP="00020B31">
            <w:pPr>
              <w:rPr>
                <w:sz w:val="18"/>
                <w:szCs w:val="18"/>
              </w:rPr>
            </w:pPr>
            <w:r w:rsidRPr="00A16777">
              <w:rPr>
                <w:sz w:val="18"/>
                <w:szCs w:val="18"/>
              </w:rPr>
              <w:t>For example, 43 per cent of 16 to 24 year olds mentioned this, whilst 31 per cent of people aged 75 or over did so.</w:t>
            </w:r>
          </w:p>
        </w:tc>
      </w:tr>
      <w:tr w:rsidR="009F2080" w14:paraId="554B560F" w14:textId="77777777" w:rsidTr="00020B31">
        <w:tc>
          <w:tcPr>
            <w:tcW w:w="581" w:type="dxa"/>
          </w:tcPr>
          <w:p w14:paraId="679F9B27" w14:textId="77777777" w:rsidR="009F2080" w:rsidRPr="00A16777" w:rsidRDefault="009F2080" w:rsidP="00020B31">
            <w:pPr>
              <w:rPr>
                <w:sz w:val="18"/>
                <w:szCs w:val="18"/>
              </w:rPr>
            </w:pPr>
            <w:r w:rsidRPr="003227CB">
              <w:rPr>
                <w:sz w:val="18"/>
                <w:szCs w:val="18"/>
              </w:rPr>
              <w:t>1.3.</w:t>
            </w:r>
            <w:r>
              <w:rPr>
                <w:sz w:val="18"/>
                <w:szCs w:val="18"/>
              </w:rPr>
              <w:t>7</w:t>
            </w:r>
          </w:p>
        </w:tc>
        <w:tc>
          <w:tcPr>
            <w:tcW w:w="2015" w:type="dxa"/>
          </w:tcPr>
          <w:p w14:paraId="7110031A" w14:textId="77777777" w:rsidR="009F2080" w:rsidRPr="00A16777" w:rsidRDefault="009F2080" w:rsidP="00020B31">
            <w:pPr>
              <w:rPr>
                <w:sz w:val="18"/>
                <w:szCs w:val="18"/>
              </w:rPr>
            </w:pPr>
            <w:r w:rsidRPr="00A16777">
              <w:rPr>
                <w:sz w:val="18"/>
                <w:szCs w:val="18"/>
              </w:rPr>
              <w:t>Justice and fair play</w:t>
            </w:r>
          </w:p>
        </w:tc>
        <w:tc>
          <w:tcPr>
            <w:tcW w:w="5763" w:type="dxa"/>
          </w:tcPr>
          <w:p w14:paraId="0E53F7C8" w14:textId="77777777" w:rsidR="009F2080" w:rsidRPr="00A16777" w:rsidRDefault="009F2080" w:rsidP="00020B31">
            <w:pPr>
              <w:rPr>
                <w:sz w:val="18"/>
                <w:szCs w:val="18"/>
              </w:rPr>
            </w:pPr>
            <w:r w:rsidRPr="00A16777">
              <w:rPr>
                <w:sz w:val="18"/>
                <w:szCs w:val="18"/>
              </w:rPr>
              <w:t>More cited by people aged 35 to 49 years.</w:t>
            </w:r>
          </w:p>
          <w:p w14:paraId="46556688" w14:textId="77777777" w:rsidR="009F2080" w:rsidRPr="00A16777" w:rsidRDefault="009F2080" w:rsidP="00020B31">
            <w:pPr>
              <w:rPr>
                <w:sz w:val="18"/>
                <w:szCs w:val="18"/>
              </w:rPr>
            </w:pPr>
            <w:r w:rsidRPr="00A16777">
              <w:rPr>
                <w:sz w:val="18"/>
                <w:szCs w:val="18"/>
              </w:rPr>
              <w:t>(33%), 50 to 64 years (38%) and 65 to 74 years (40%) than those aged 16 to 24</w:t>
            </w:r>
            <w:r>
              <w:rPr>
                <w:sz w:val="18"/>
                <w:szCs w:val="18"/>
              </w:rPr>
              <w:t xml:space="preserve"> </w:t>
            </w:r>
            <w:r w:rsidRPr="00A16777">
              <w:rPr>
                <w:sz w:val="18"/>
                <w:szCs w:val="18"/>
              </w:rPr>
              <w:t>years (29%).</w:t>
            </w:r>
          </w:p>
        </w:tc>
      </w:tr>
      <w:tr w:rsidR="009F2080" w14:paraId="41FC9933" w14:textId="77777777" w:rsidTr="00020B31">
        <w:tc>
          <w:tcPr>
            <w:tcW w:w="581" w:type="dxa"/>
          </w:tcPr>
          <w:p w14:paraId="46315172" w14:textId="77777777" w:rsidR="009F2080" w:rsidRPr="00A16777" w:rsidRDefault="009F2080" w:rsidP="00020B31">
            <w:pPr>
              <w:rPr>
                <w:sz w:val="18"/>
                <w:szCs w:val="18"/>
              </w:rPr>
            </w:pPr>
            <w:r w:rsidRPr="003227CB">
              <w:rPr>
                <w:sz w:val="18"/>
                <w:szCs w:val="18"/>
              </w:rPr>
              <w:t>1.3.</w:t>
            </w:r>
            <w:r>
              <w:rPr>
                <w:sz w:val="18"/>
                <w:szCs w:val="18"/>
              </w:rPr>
              <w:t>8</w:t>
            </w:r>
          </w:p>
        </w:tc>
        <w:tc>
          <w:tcPr>
            <w:tcW w:w="2015" w:type="dxa"/>
          </w:tcPr>
          <w:p w14:paraId="6D0E4DA4" w14:textId="77777777" w:rsidR="009F2080" w:rsidRPr="00A16777" w:rsidRDefault="009F2080" w:rsidP="00020B31">
            <w:pPr>
              <w:rPr>
                <w:sz w:val="18"/>
                <w:szCs w:val="18"/>
              </w:rPr>
            </w:pPr>
            <w:r w:rsidRPr="00A16777">
              <w:rPr>
                <w:sz w:val="18"/>
                <w:szCs w:val="18"/>
              </w:rPr>
              <w:t>everyone should speak English</w:t>
            </w:r>
          </w:p>
        </w:tc>
        <w:tc>
          <w:tcPr>
            <w:tcW w:w="5763" w:type="dxa"/>
          </w:tcPr>
          <w:p w14:paraId="58C57481" w14:textId="77777777" w:rsidR="009F2080" w:rsidRPr="00A16777" w:rsidRDefault="009F2080" w:rsidP="00020B31">
            <w:pPr>
              <w:rPr>
                <w:sz w:val="18"/>
                <w:szCs w:val="18"/>
              </w:rPr>
            </w:pPr>
            <w:r w:rsidRPr="00A16777">
              <w:rPr>
                <w:sz w:val="18"/>
                <w:szCs w:val="18"/>
              </w:rPr>
              <w:t xml:space="preserve">Older people cited this more. </w:t>
            </w:r>
          </w:p>
          <w:p w14:paraId="2A13504E" w14:textId="77777777" w:rsidR="009F2080" w:rsidRPr="00A16777" w:rsidRDefault="009F2080" w:rsidP="00020B31">
            <w:pPr>
              <w:rPr>
                <w:sz w:val="18"/>
                <w:szCs w:val="18"/>
              </w:rPr>
            </w:pPr>
            <w:r w:rsidRPr="00A16777">
              <w:rPr>
                <w:sz w:val="18"/>
                <w:szCs w:val="18"/>
              </w:rPr>
              <w:t>People aged 65 to 74 (47%) and 75 or over (43%) were more likely to say this than those aged 16 to 24 years (27%).</w:t>
            </w:r>
          </w:p>
        </w:tc>
      </w:tr>
    </w:tbl>
    <w:p w14:paraId="51F5EDAD" w14:textId="797174EC" w:rsidR="009A15DF" w:rsidRDefault="009A15DF" w:rsidP="009A15DF">
      <w:r>
        <w:t>Table 1.</w:t>
      </w:r>
      <w:r>
        <w:t>3</w:t>
      </w:r>
    </w:p>
    <w:p w14:paraId="128E23B4" w14:textId="77777777" w:rsidR="009F2080" w:rsidRDefault="009F2080" w:rsidP="009F2080"/>
    <w:p w14:paraId="71FC72A0" w14:textId="77777777" w:rsidR="009F2080" w:rsidRDefault="009F2080" w:rsidP="009F2080">
      <w:r>
        <w:t>The</w:t>
      </w:r>
      <w:r w:rsidRPr="00105BBE">
        <w:t xml:space="preserve"> </w:t>
      </w:r>
      <w:r>
        <w:t xml:space="preserve">Citizenship Survey Identity and Values Topic Report has a base sample of people in England of </w:t>
      </w:r>
      <w:r w:rsidRPr="00591D24">
        <w:t>8,752</w:t>
      </w:r>
      <w:r>
        <w:t xml:space="preserve"> (Lloyd 2009:12).  </w:t>
      </w:r>
    </w:p>
    <w:p w14:paraId="7CC653D7" w14:textId="77777777" w:rsidR="009F2080" w:rsidRDefault="009F2080" w:rsidP="009F2080"/>
    <w:p w14:paraId="5F8B58B6" w14:textId="77777777" w:rsidR="009F2080" w:rsidRDefault="009F2080" w:rsidP="009F2080">
      <w:pPr>
        <w:pStyle w:val="Heading2"/>
      </w:pPr>
      <w:r>
        <w:t>Dataset 2: housing regulations, policies and developers’ drivers</w:t>
      </w:r>
    </w:p>
    <w:p w14:paraId="7FD736D3" w14:textId="77777777" w:rsidR="009F2080" w:rsidRDefault="009F2080" w:rsidP="009F2080"/>
    <w:tbl>
      <w:tblPr>
        <w:tblStyle w:val="TableGrid"/>
        <w:tblW w:w="0" w:type="auto"/>
        <w:tblLook w:val="04A0" w:firstRow="1" w:lastRow="0" w:firstColumn="1" w:lastColumn="0" w:noHBand="0" w:noVBand="1"/>
      </w:tblPr>
      <w:tblGrid>
        <w:gridCol w:w="562"/>
        <w:gridCol w:w="1701"/>
        <w:gridCol w:w="1269"/>
        <w:gridCol w:w="866"/>
        <w:gridCol w:w="594"/>
        <w:gridCol w:w="2362"/>
        <w:gridCol w:w="1662"/>
      </w:tblGrid>
      <w:tr w:rsidR="009F2080" w14:paraId="47389DB9" w14:textId="77777777" w:rsidTr="00020B31">
        <w:tc>
          <w:tcPr>
            <w:tcW w:w="562" w:type="dxa"/>
            <w:shd w:val="clear" w:color="auto" w:fill="4472C4" w:themeFill="accent1"/>
          </w:tcPr>
          <w:p w14:paraId="7E5F2E64" w14:textId="77777777" w:rsidR="009F2080" w:rsidRPr="0028764B" w:rsidRDefault="009F2080" w:rsidP="00020B31">
            <w:pPr>
              <w:rPr>
                <w:b/>
                <w:bCs/>
              </w:rPr>
            </w:pPr>
          </w:p>
        </w:tc>
        <w:tc>
          <w:tcPr>
            <w:tcW w:w="1701" w:type="dxa"/>
            <w:shd w:val="clear" w:color="auto" w:fill="4472C4" w:themeFill="accent1"/>
          </w:tcPr>
          <w:p w14:paraId="2483A858" w14:textId="77777777" w:rsidR="009F2080" w:rsidRPr="0028764B" w:rsidRDefault="009F2080" w:rsidP="00020B31">
            <w:pPr>
              <w:rPr>
                <w:b/>
                <w:bCs/>
              </w:rPr>
            </w:pPr>
            <w:r w:rsidRPr="0028764B">
              <w:rPr>
                <w:b/>
                <w:bCs/>
              </w:rPr>
              <w:t>Report</w:t>
            </w:r>
          </w:p>
        </w:tc>
        <w:tc>
          <w:tcPr>
            <w:tcW w:w="1269" w:type="dxa"/>
            <w:shd w:val="clear" w:color="auto" w:fill="4472C4" w:themeFill="accent1"/>
          </w:tcPr>
          <w:p w14:paraId="69DDEEBD" w14:textId="77777777" w:rsidR="009F2080" w:rsidRPr="0028764B" w:rsidRDefault="009F2080" w:rsidP="00020B31">
            <w:pPr>
              <w:rPr>
                <w:b/>
                <w:bCs/>
              </w:rPr>
            </w:pPr>
            <w:r w:rsidRPr="0028764B">
              <w:rPr>
                <w:b/>
                <w:bCs/>
              </w:rPr>
              <w:t>Published by</w:t>
            </w:r>
          </w:p>
        </w:tc>
        <w:tc>
          <w:tcPr>
            <w:tcW w:w="866" w:type="dxa"/>
            <w:shd w:val="clear" w:color="auto" w:fill="4472C4" w:themeFill="accent1"/>
          </w:tcPr>
          <w:p w14:paraId="021CC066" w14:textId="77777777" w:rsidR="009F2080" w:rsidRPr="0028764B" w:rsidRDefault="009F2080" w:rsidP="00020B31">
            <w:pPr>
              <w:rPr>
                <w:b/>
                <w:bCs/>
              </w:rPr>
            </w:pPr>
            <w:r w:rsidRPr="0028764B">
              <w:rPr>
                <w:b/>
                <w:bCs/>
              </w:rPr>
              <w:t>Last update</w:t>
            </w:r>
          </w:p>
        </w:tc>
        <w:tc>
          <w:tcPr>
            <w:tcW w:w="594" w:type="dxa"/>
            <w:shd w:val="clear" w:color="auto" w:fill="4472C4" w:themeFill="accent1"/>
          </w:tcPr>
          <w:p w14:paraId="240DC693" w14:textId="77777777" w:rsidR="009F2080" w:rsidRPr="0028764B" w:rsidRDefault="009F2080" w:rsidP="00020B31">
            <w:pPr>
              <w:rPr>
                <w:b/>
                <w:bCs/>
              </w:rPr>
            </w:pPr>
            <w:r w:rsidRPr="0028764B">
              <w:rPr>
                <w:b/>
                <w:bCs/>
              </w:rPr>
              <w:t>URL</w:t>
            </w:r>
          </w:p>
        </w:tc>
        <w:tc>
          <w:tcPr>
            <w:tcW w:w="2362" w:type="dxa"/>
            <w:shd w:val="clear" w:color="auto" w:fill="4472C4" w:themeFill="accent1"/>
          </w:tcPr>
          <w:p w14:paraId="3F87ADC0" w14:textId="77777777" w:rsidR="009F2080" w:rsidRPr="0028764B" w:rsidRDefault="009F2080" w:rsidP="00020B31">
            <w:pPr>
              <w:rPr>
                <w:b/>
                <w:bCs/>
              </w:rPr>
            </w:pPr>
            <w:r>
              <w:rPr>
                <w:b/>
                <w:bCs/>
              </w:rPr>
              <w:t>Description</w:t>
            </w:r>
          </w:p>
        </w:tc>
        <w:tc>
          <w:tcPr>
            <w:tcW w:w="1662" w:type="dxa"/>
            <w:shd w:val="clear" w:color="auto" w:fill="4472C4" w:themeFill="accent1"/>
          </w:tcPr>
          <w:p w14:paraId="53218002" w14:textId="77777777" w:rsidR="009F2080" w:rsidRPr="0028764B" w:rsidRDefault="009F2080" w:rsidP="00020B31">
            <w:pPr>
              <w:rPr>
                <w:b/>
                <w:bCs/>
              </w:rPr>
            </w:pPr>
            <w:r w:rsidRPr="0028764B">
              <w:rPr>
                <w:b/>
                <w:bCs/>
              </w:rPr>
              <w:t>Data collection method</w:t>
            </w:r>
          </w:p>
        </w:tc>
      </w:tr>
      <w:tr w:rsidR="009F2080" w14:paraId="6E588CE1" w14:textId="77777777" w:rsidTr="00020B31">
        <w:tc>
          <w:tcPr>
            <w:tcW w:w="562" w:type="dxa"/>
          </w:tcPr>
          <w:p w14:paraId="6207A99B" w14:textId="77777777" w:rsidR="009F2080" w:rsidRPr="009E2809" w:rsidRDefault="009F2080" w:rsidP="00020B31">
            <w:pPr>
              <w:rPr>
                <w:sz w:val="18"/>
                <w:szCs w:val="18"/>
              </w:rPr>
            </w:pPr>
            <w:r>
              <w:rPr>
                <w:sz w:val="18"/>
                <w:szCs w:val="18"/>
              </w:rPr>
              <w:t>2.1</w:t>
            </w:r>
          </w:p>
        </w:tc>
        <w:tc>
          <w:tcPr>
            <w:tcW w:w="1701" w:type="dxa"/>
          </w:tcPr>
          <w:p w14:paraId="5B02929F" w14:textId="77777777" w:rsidR="009F2080" w:rsidRPr="009E2809" w:rsidRDefault="009F2080" w:rsidP="00020B31">
            <w:pPr>
              <w:rPr>
                <w:sz w:val="18"/>
                <w:szCs w:val="18"/>
              </w:rPr>
            </w:pPr>
            <w:r w:rsidRPr="009E2809">
              <w:rPr>
                <w:sz w:val="18"/>
                <w:szCs w:val="18"/>
              </w:rPr>
              <w:t>Design and sustainability</w:t>
            </w:r>
          </w:p>
        </w:tc>
        <w:tc>
          <w:tcPr>
            <w:tcW w:w="1269" w:type="dxa"/>
          </w:tcPr>
          <w:p w14:paraId="0CBFCC82" w14:textId="77777777" w:rsidR="009F2080" w:rsidRPr="009E2809" w:rsidRDefault="009F2080" w:rsidP="00020B31">
            <w:pPr>
              <w:rPr>
                <w:sz w:val="18"/>
                <w:szCs w:val="18"/>
              </w:rPr>
            </w:pPr>
            <w:r w:rsidRPr="009E2809">
              <w:rPr>
                <w:sz w:val="18"/>
                <w:szCs w:val="18"/>
              </w:rPr>
              <w:t>Greater London Authority</w:t>
            </w:r>
          </w:p>
        </w:tc>
        <w:tc>
          <w:tcPr>
            <w:tcW w:w="866" w:type="dxa"/>
          </w:tcPr>
          <w:p w14:paraId="35155C89" w14:textId="77777777" w:rsidR="009F2080" w:rsidRPr="009E2809" w:rsidRDefault="009F2080" w:rsidP="00020B31">
            <w:pPr>
              <w:rPr>
                <w:sz w:val="18"/>
                <w:szCs w:val="18"/>
              </w:rPr>
            </w:pPr>
            <w:r w:rsidRPr="009E2809">
              <w:rPr>
                <w:sz w:val="18"/>
                <w:szCs w:val="18"/>
              </w:rPr>
              <w:t>2021</w:t>
            </w:r>
          </w:p>
        </w:tc>
        <w:tc>
          <w:tcPr>
            <w:tcW w:w="594" w:type="dxa"/>
          </w:tcPr>
          <w:p w14:paraId="0F8BCE49" w14:textId="77777777" w:rsidR="009F2080" w:rsidRPr="009E2809" w:rsidRDefault="00D047F3" w:rsidP="00020B31">
            <w:pPr>
              <w:rPr>
                <w:sz w:val="18"/>
                <w:szCs w:val="18"/>
              </w:rPr>
            </w:pPr>
            <w:hyperlink r:id="rId11" w:history="1">
              <w:r w:rsidR="009F2080" w:rsidRPr="009E2809">
                <w:rPr>
                  <w:rStyle w:val="Hyperlink"/>
                  <w:sz w:val="18"/>
                  <w:szCs w:val="18"/>
                </w:rPr>
                <w:t>link</w:t>
              </w:r>
            </w:hyperlink>
          </w:p>
          <w:p w14:paraId="01758A2F" w14:textId="77777777" w:rsidR="009F2080" w:rsidRPr="009E2809" w:rsidRDefault="00D047F3" w:rsidP="00020B31">
            <w:pPr>
              <w:rPr>
                <w:sz w:val="18"/>
                <w:szCs w:val="18"/>
              </w:rPr>
            </w:pPr>
            <w:hyperlink r:id="rId12" w:history="1">
              <w:r w:rsidR="009F2080" w:rsidRPr="009E2809">
                <w:rPr>
                  <w:rStyle w:val="Hyperlink"/>
                  <w:sz w:val="18"/>
                  <w:szCs w:val="18"/>
                </w:rPr>
                <w:t>link</w:t>
              </w:r>
            </w:hyperlink>
          </w:p>
        </w:tc>
        <w:tc>
          <w:tcPr>
            <w:tcW w:w="2362" w:type="dxa"/>
          </w:tcPr>
          <w:p w14:paraId="1542E161" w14:textId="77777777" w:rsidR="009F2080" w:rsidRPr="009E2809" w:rsidRDefault="009F2080" w:rsidP="00020B31">
            <w:pPr>
              <w:rPr>
                <w:sz w:val="18"/>
                <w:szCs w:val="18"/>
              </w:rPr>
            </w:pPr>
            <w:r w:rsidRPr="009E2809">
              <w:rPr>
                <w:sz w:val="18"/>
                <w:szCs w:val="18"/>
              </w:rPr>
              <w:t>The Delivering Quality Homes initiative aims to support housing providers to review and improve the internal processes and practices that lead to good quality housing.</w:t>
            </w:r>
          </w:p>
        </w:tc>
        <w:tc>
          <w:tcPr>
            <w:tcW w:w="1662" w:type="dxa"/>
          </w:tcPr>
          <w:p w14:paraId="41CCF179" w14:textId="77777777" w:rsidR="009F2080" w:rsidRPr="009E2809" w:rsidRDefault="009F2080" w:rsidP="00020B31">
            <w:pPr>
              <w:rPr>
                <w:sz w:val="18"/>
                <w:szCs w:val="18"/>
              </w:rPr>
            </w:pPr>
            <w:r w:rsidRPr="009E2809">
              <w:rPr>
                <w:sz w:val="18"/>
                <w:szCs w:val="18"/>
              </w:rPr>
              <w:t>Guidelines/policy</w:t>
            </w:r>
          </w:p>
        </w:tc>
      </w:tr>
      <w:tr w:rsidR="009F2080" w14:paraId="72922F24" w14:textId="77777777" w:rsidTr="00020B31">
        <w:tc>
          <w:tcPr>
            <w:tcW w:w="562" w:type="dxa"/>
          </w:tcPr>
          <w:p w14:paraId="562174B2" w14:textId="77777777" w:rsidR="009F2080" w:rsidRPr="009E2809" w:rsidRDefault="009F2080" w:rsidP="00020B31">
            <w:pPr>
              <w:rPr>
                <w:sz w:val="18"/>
                <w:szCs w:val="18"/>
              </w:rPr>
            </w:pPr>
            <w:r>
              <w:rPr>
                <w:sz w:val="18"/>
                <w:szCs w:val="18"/>
              </w:rPr>
              <w:t>2.2</w:t>
            </w:r>
          </w:p>
        </w:tc>
        <w:tc>
          <w:tcPr>
            <w:tcW w:w="1701" w:type="dxa"/>
          </w:tcPr>
          <w:p w14:paraId="5C86AC4D" w14:textId="77777777" w:rsidR="009F2080" w:rsidRPr="009E2809" w:rsidRDefault="009F2080" w:rsidP="00020B31">
            <w:pPr>
              <w:rPr>
                <w:sz w:val="18"/>
                <w:szCs w:val="18"/>
              </w:rPr>
            </w:pPr>
            <w:r w:rsidRPr="009E2809">
              <w:rPr>
                <w:sz w:val="18"/>
                <w:szCs w:val="18"/>
              </w:rPr>
              <w:t>Equalities, Diversity and Inclusion Measures</w:t>
            </w:r>
          </w:p>
          <w:p w14:paraId="358CE56F" w14:textId="77777777" w:rsidR="009F2080" w:rsidRPr="009E2809" w:rsidRDefault="009F2080" w:rsidP="00020B31">
            <w:pPr>
              <w:rPr>
                <w:sz w:val="18"/>
                <w:szCs w:val="18"/>
              </w:rPr>
            </w:pPr>
          </w:p>
        </w:tc>
        <w:tc>
          <w:tcPr>
            <w:tcW w:w="1269" w:type="dxa"/>
          </w:tcPr>
          <w:p w14:paraId="794A9688" w14:textId="77777777" w:rsidR="009F2080" w:rsidRPr="009E2809" w:rsidRDefault="009F2080" w:rsidP="00020B31">
            <w:pPr>
              <w:rPr>
                <w:sz w:val="18"/>
                <w:szCs w:val="18"/>
              </w:rPr>
            </w:pPr>
            <w:r w:rsidRPr="009E2809">
              <w:rPr>
                <w:sz w:val="18"/>
                <w:szCs w:val="18"/>
              </w:rPr>
              <w:t>Greater London Authority</w:t>
            </w:r>
          </w:p>
        </w:tc>
        <w:tc>
          <w:tcPr>
            <w:tcW w:w="866" w:type="dxa"/>
          </w:tcPr>
          <w:p w14:paraId="3D7DDCFD" w14:textId="77777777" w:rsidR="009F2080" w:rsidRPr="009E2809" w:rsidRDefault="009F2080" w:rsidP="00020B31">
            <w:pPr>
              <w:rPr>
                <w:sz w:val="18"/>
                <w:szCs w:val="18"/>
              </w:rPr>
            </w:pPr>
            <w:r w:rsidRPr="009E2809">
              <w:rPr>
                <w:sz w:val="18"/>
                <w:szCs w:val="18"/>
              </w:rPr>
              <w:t>2021</w:t>
            </w:r>
          </w:p>
        </w:tc>
        <w:tc>
          <w:tcPr>
            <w:tcW w:w="594" w:type="dxa"/>
          </w:tcPr>
          <w:p w14:paraId="209399DF" w14:textId="77777777" w:rsidR="009F2080" w:rsidRPr="009E2809" w:rsidRDefault="00D047F3" w:rsidP="00020B31">
            <w:pPr>
              <w:rPr>
                <w:sz w:val="18"/>
                <w:szCs w:val="18"/>
              </w:rPr>
            </w:pPr>
            <w:hyperlink r:id="rId13" w:history="1">
              <w:r w:rsidR="009F2080" w:rsidRPr="009E2809">
                <w:rPr>
                  <w:rStyle w:val="Hyperlink"/>
                  <w:sz w:val="18"/>
                  <w:szCs w:val="18"/>
                </w:rPr>
                <w:t>link</w:t>
              </w:r>
            </w:hyperlink>
          </w:p>
        </w:tc>
        <w:tc>
          <w:tcPr>
            <w:tcW w:w="2362" w:type="dxa"/>
          </w:tcPr>
          <w:p w14:paraId="5982D02F" w14:textId="77777777" w:rsidR="009F2080" w:rsidRPr="009E2809" w:rsidRDefault="009F2080" w:rsidP="00020B31">
            <w:pPr>
              <w:rPr>
                <w:sz w:val="18"/>
                <w:szCs w:val="18"/>
              </w:rPr>
            </w:pPr>
            <w:r w:rsidRPr="009E2809">
              <w:rPr>
                <w:sz w:val="18"/>
                <w:szCs w:val="18"/>
              </w:rPr>
              <w:t>This dataset supports the Mayor's equality, diversity and inclusion strategy. It brings together publicly available data relevant to equalities in London into a series of measures. (GLA 2021)</w:t>
            </w:r>
          </w:p>
        </w:tc>
        <w:tc>
          <w:tcPr>
            <w:tcW w:w="1662" w:type="dxa"/>
          </w:tcPr>
          <w:p w14:paraId="0A79828E" w14:textId="77777777" w:rsidR="009F2080" w:rsidRPr="009E2809" w:rsidRDefault="009F2080" w:rsidP="00020B31">
            <w:pPr>
              <w:rPr>
                <w:sz w:val="18"/>
                <w:szCs w:val="18"/>
              </w:rPr>
            </w:pPr>
            <w:r w:rsidRPr="009E2809">
              <w:rPr>
                <w:sz w:val="18"/>
                <w:szCs w:val="18"/>
              </w:rPr>
              <w:t>Public data/policy</w:t>
            </w:r>
          </w:p>
        </w:tc>
      </w:tr>
      <w:tr w:rsidR="009F2080" w14:paraId="7A23BC84" w14:textId="77777777" w:rsidTr="00020B31">
        <w:tc>
          <w:tcPr>
            <w:tcW w:w="562" w:type="dxa"/>
          </w:tcPr>
          <w:p w14:paraId="6D2762B3" w14:textId="77777777" w:rsidR="009F2080" w:rsidRPr="009E2809" w:rsidRDefault="009F2080" w:rsidP="00020B31">
            <w:pPr>
              <w:rPr>
                <w:sz w:val="18"/>
                <w:szCs w:val="18"/>
              </w:rPr>
            </w:pPr>
            <w:r>
              <w:rPr>
                <w:sz w:val="18"/>
                <w:szCs w:val="18"/>
              </w:rPr>
              <w:t>2.3</w:t>
            </w:r>
          </w:p>
        </w:tc>
        <w:tc>
          <w:tcPr>
            <w:tcW w:w="1701" w:type="dxa"/>
          </w:tcPr>
          <w:p w14:paraId="1B025927" w14:textId="77777777" w:rsidR="009F2080" w:rsidRPr="009E2809" w:rsidRDefault="009F2080" w:rsidP="00020B31">
            <w:pPr>
              <w:rPr>
                <w:sz w:val="18"/>
                <w:szCs w:val="18"/>
              </w:rPr>
            </w:pPr>
            <w:r w:rsidRPr="009E2809">
              <w:rPr>
                <w:sz w:val="18"/>
                <w:szCs w:val="18"/>
              </w:rPr>
              <w:t>community cohesion – an action guide. Guidance for local authorities</w:t>
            </w:r>
          </w:p>
        </w:tc>
        <w:tc>
          <w:tcPr>
            <w:tcW w:w="1269" w:type="dxa"/>
          </w:tcPr>
          <w:p w14:paraId="4422E4D7" w14:textId="77777777" w:rsidR="009F2080" w:rsidRPr="009E2809" w:rsidRDefault="009F2080" w:rsidP="00020B31">
            <w:pPr>
              <w:rPr>
                <w:sz w:val="18"/>
                <w:szCs w:val="18"/>
              </w:rPr>
            </w:pPr>
            <w:r w:rsidRPr="009E2809">
              <w:rPr>
                <w:sz w:val="18"/>
                <w:szCs w:val="18"/>
              </w:rPr>
              <w:t xml:space="preserve">Local Government Association </w:t>
            </w:r>
          </w:p>
        </w:tc>
        <w:tc>
          <w:tcPr>
            <w:tcW w:w="866" w:type="dxa"/>
          </w:tcPr>
          <w:p w14:paraId="09B1E460" w14:textId="77777777" w:rsidR="009F2080" w:rsidRPr="009E2809" w:rsidRDefault="009F2080" w:rsidP="00020B31">
            <w:pPr>
              <w:rPr>
                <w:sz w:val="18"/>
                <w:szCs w:val="18"/>
              </w:rPr>
            </w:pPr>
            <w:r w:rsidRPr="009E2809">
              <w:rPr>
                <w:sz w:val="18"/>
                <w:szCs w:val="18"/>
              </w:rPr>
              <w:t>2004</w:t>
            </w:r>
          </w:p>
        </w:tc>
        <w:tc>
          <w:tcPr>
            <w:tcW w:w="594" w:type="dxa"/>
          </w:tcPr>
          <w:p w14:paraId="0892E94E" w14:textId="77777777" w:rsidR="009F2080" w:rsidRPr="009E2809" w:rsidRDefault="00D047F3" w:rsidP="00020B31">
            <w:pPr>
              <w:rPr>
                <w:sz w:val="18"/>
                <w:szCs w:val="18"/>
              </w:rPr>
            </w:pPr>
            <w:hyperlink r:id="rId14" w:history="1">
              <w:r w:rsidR="009F2080" w:rsidRPr="009E2809">
                <w:rPr>
                  <w:rStyle w:val="Hyperlink"/>
                  <w:sz w:val="18"/>
                  <w:szCs w:val="18"/>
                </w:rPr>
                <w:t>link</w:t>
              </w:r>
            </w:hyperlink>
          </w:p>
        </w:tc>
        <w:tc>
          <w:tcPr>
            <w:tcW w:w="2362" w:type="dxa"/>
          </w:tcPr>
          <w:p w14:paraId="070D122E" w14:textId="77777777" w:rsidR="009F2080" w:rsidRPr="009E2809" w:rsidRDefault="009F2080" w:rsidP="00020B31">
            <w:pPr>
              <w:rPr>
                <w:sz w:val="18"/>
                <w:szCs w:val="18"/>
              </w:rPr>
            </w:pPr>
          </w:p>
        </w:tc>
        <w:tc>
          <w:tcPr>
            <w:tcW w:w="1662" w:type="dxa"/>
          </w:tcPr>
          <w:p w14:paraId="1B7F3512" w14:textId="77777777" w:rsidR="009F2080" w:rsidRPr="009E2809" w:rsidRDefault="009F2080" w:rsidP="00020B31">
            <w:pPr>
              <w:rPr>
                <w:sz w:val="18"/>
                <w:szCs w:val="18"/>
              </w:rPr>
            </w:pPr>
            <w:r w:rsidRPr="009E2809">
              <w:rPr>
                <w:sz w:val="18"/>
                <w:szCs w:val="18"/>
              </w:rPr>
              <w:t>Guidelines/policy</w:t>
            </w:r>
          </w:p>
        </w:tc>
      </w:tr>
    </w:tbl>
    <w:p w14:paraId="109F7547" w14:textId="5062DBDD" w:rsidR="009A15DF" w:rsidRDefault="009A15DF" w:rsidP="009A15DF">
      <w:r>
        <w:t>Table 2</w:t>
      </w:r>
    </w:p>
    <w:p w14:paraId="48041102" w14:textId="77777777" w:rsidR="009F2080" w:rsidRDefault="009F2080" w:rsidP="009F2080"/>
    <w:p w14:paraId="5F0D59B5" w14:textId="77777777" w:rsidR="009F2080" w:rsidRDefault="009F2080" w:rsidP="009F2080">
      <w:pPr>
        <w:rPr>
          <w:rStyle w:val="Hyperlink"/>
        </w:rPr>
      </w:pPr>
      <w:r>
        <w:t xml:space="preserve">London Housing Strategy: </w:t>
      </w:r>
      <w:hyperlink r:id="rId15" w:history="1">
        <w:r w:rsidRPr="007B2E9B">
          <w:rPr>
            <w:rStyle w:val="Hyperlink"/>
          </w:rPr>
          <w:t>https://www.london.gov.uk/what-we-do/housing-and-land/tackling-londons-housing-crisis</w:t>
        </w:r>
      </w:hyperlink>
    </w:p>
    <w:p w14:paraId="1E3768BF" w14:textId="77777777" w:rsidR="009F2080" w:rsidRDefault="009F2080" w:rsidP="009F2080">
      <w:r>
        <w:lastRenderedPageBreak/>
        <w:t xml:space="preserve">London: Delivering quality homes: </w:t>
      </w:r>
      <w:r w:rsidRPr="00685CF5">
        <w:t>https://www.london.gov.uk/sites/default/files/mol_delivering_quality_homes_handbook_draftnovember2021.pdf</w:t>
      </w:r>
    </w:p>
    <w:p w14:paraId="4EBA21C1" w14:textId="77777777" w:rsidR="009F2080" w:rsidRDefault="009F2080" w:rsidP="009F2080"/>
    <w:p w14:paraId="55ADD60F" w14:textId="77777777" w:rsidR="009F2080" w:rsidRDefault="009F2080" w:rsidP="009F2080">
      <w:pPr>
        <w:pStyle w:val="Heading3"/>
      </w:pPr>
      <w:r>
        <w:t xml:space="preserve">2.1 London </w:t>
      </w:r>
      <w:r w:rsidRPr="00415B9F">
        <w:t>Housing design and quality</w:t>
      </w:r>
      <w:r>
        <w:t xml:space="preserve"> (GLA) from </w:t>
      </w:r>
      <w:hyperlink r:id="rId16" w:anchor="acc-i-62735" w:history="1">
        <w:r w:rsidRPr="00864667">
          <w:rPr>
            <w:rStyle w:val="Hyperlink"/>
          </w:rPr>
          <w:t>link</w:t>
        </w:r>
      </w:hyperlink>
    </w:p>
    <w:tbl>
      <w:tblPr>
        <w:tblStyle w:val="TableGrid"/>
        <w:tblW w:w="9045" w:type="dxa"/>
        <w:tblLook w:val="04A0" w:firstRow="1" w:lastRow="0" w:firstColumn="1" w:lastColumn="0" w:noHBand="0" w:noVBand="1"/>
      </w:tblPr>
      <w:tblGrid>
        <w:gridCol w:w="581"/>
        <w:gridCol w:w="4174"/>
        <w:gridCol w:w="4290"/>
      </w:tblGrid>
      <w:tr w:rsidR="009F2080" w:rsidRPr="00B85BD9" w14:paraId="4F572B12" w14:textId="77777777" w:rsidTr="00020B31">
        <w:tc>
          <w:tcPr>
            <w:tcW w:w="581" w:type="dxa"/>
          </w:tcPr>
          <w:p w14:paraId="08F9DB57" w14:textId="77777777" w:rsidR="009F2080" w:rsidRPr="00B85BD9" w:rsidRDefault="009F2080" w:rsidP="00020B31"/>
        </w:tc>
        <w:tc>
          <w:tcPr>
            <w:tcW w:w="4174" w:type="dxa"/>
            <w:shd w:val="clear" w:color="auto" w:fill="4472C4" w:themeFill="accent1"/>
          </w:tcPr>
          <w:p w14:paraId="74603C91" w14:textId="77777777" w:rsidR="009F2080" w:rsidRPr="0028764B" w:rsidRDefault="009F2080" w:rsidP="00020B31">
            <w:pPr>
              <w:rPr>
                <w:b/>
                <w:bCs/>
              </w:rPr>
            </w:pPr>
            <w:r w:rsidRPr="0028764B">
              <w:rPr>
                <w:b/>
                <w:bCs/>
              </w:rPr>
              <w:t>Design standards</w:t>
            </w:r>
          </w:p>
        </w:tc>
        <w:tc>
          <w:tcPr>
            <w:tcW w:w="4290" w:type="dxa"/>
            <w:shd w:val="clear" w:color="auto" w:fill="4472C4" w:themeFill="accent1"/>
          </w:tcPr>
          <w:p w14:paraId="2B008E13" w14:textId="77777777" w:rsidR="009F2080" w:rsidRPr="0028764B" w:rsidRDefault="009F2080" w:rsidP="00020B31">
            <w:pPr>
              <w:rPr>
                <w:b/>
                <w:bCs/>
              </w:rPr>
            </w:pPr>
            <w:r w:rsidRPr="0028764B">
              <w:rPr>
                <w:b/>
                <w:bCs/>
              </w:rPr>
              <w:t>Cross-reference to policy documents</w:t>
            </w:r>
          </w:p>
        </w:tc>
      </w:tr>
      <w:tr w:rsidR="009F2080" w:rsidRPr="00B85BD9" w14:paraId="1B8A55F5" w14:textId="77777777" w:rsidTr="00020B31">
        <w:tc>
          <w:tcPr>
            <w:tcW w:w="581" w:type="dxa"/>
            <w:hideMark/>
          </w:tcPr>
          <w:p w14:paraId="5E1C25E8" w14:textId="77777777" w:rsidR="009F2080" w:rsidRPr="0023223F" w:rsidRDefault="009F2080" w:rsidP="00020B31">
            <w:pPr>
              <w:rPr>
                <w:sz w:val="18"/>
                <w:szCs w:val="18"/>
              </w:rPr>
            </w:pPr>
            <w:r>
              <w:rPr>
                <w:sz w:val="18"/>
                <w:szCs w:val="18"/>
              </w:rPr>
              <w:t>2.1.1</w:t>
            </w:r>
          </w:p>
        </w:tc>
        <w:tc>
          <w:tcPr>
            <w:tcW w:w="4174" w:type="dxa"/>
            <w:hideMark/>
          </w:tcPr>
          <w:p w14:paraId="78E72359" w14:textId="77777777" w:rsidR="009F2080" w:rsidRPr="0023223F" w:rsidRDefault="009F2080" w:rsidP="00020B31">
            <w:pPr>
              <w:rPr>
                <w:sz w:val="18"/>
                <w:szCs w:val="18"/>
              </w:rPr>
            </w:pPr>
            <w:r w:rsidRPr="0023223F">
              <w:rPr>
                <w:sz w:val="18"/>
                <w:szCs w:val="18"/>
              </w:rPr>
              <w:t xml:space="preserve">All homes must meet minimum floor space standards, including storage </w:t>
            </w:r>
          </w:p>
        </w:tc>
        <w:tc>
          <w:tcPr>
            <w:tcW w:w="4290" w:type="dxa"/>
            <w:hideMark/>
          </w:tcPr>
          <w:p w14:paraId="56440704" w14:textId="77777777" w:rsidR="009F2080" w:rsidRPr="0023223F" w:rsidRDefault="009F2080" w:rsidP="00020B31">
            <w:pPr>
              <w:rPr>
                <w:sz w:val="18"/>
                <w:szCs w:val="18"/>
              </w:rPr>
            </w:pPr>
            <w:r w:rsidRPr="0023223F">
              <w:rPr>
                <w:sz w:val="18"/>
                <w:szCs w:val="18"/>
              </w:rPr>
              <w:t>Policy C4.1.1 of Good Quality Homes for all Londoners SPG.</w:t>
            </w:r>
          </w:p>
          <w:p w14:paraId="0ACDFDB2" w14:textId="77777777" w:rsidR="009F2080" w:rsidRPr="0023223F" w:rsidRDefault="009F2080" w:rsidP="00020B31">
            <w:pPr>
              <w:rPr>
                <w:sz w:val="18"/>
                <w:szCs w:val="18"/>
              </w:rPr>
            </w:pPr>
            <w:r w:rsidRPr="0023223F">
              <w:rPr>
                <w:sz w:val="18"/>
                <w:szCs w:val="18"/>
              </w:rPr>
              <w:br/>
              <w:t>Relevant London Plan policies: D5, D6, D7. See Table 3.1 of the London Plan.</w:t>
            </w:r>
          </w:p>
        </w:tc>
      </w:tr>
      <w:tr w:rsidR="009F2080" w:rsidRPr="00B85BD9" w14:paraId="20E1AC35" w14:textId="77777777" w:rsidTr="00020B31">
        <w:tc>
          <w:tcPr>
            <w:tcW w:w="581" w:type="dxa"/>
            <w:hideMark/>
          </w:tcPr>
          <w:p w14:paraId="251045A3" w14:textId="77777777" w:rsidR="009F2080" w:rsidRPr="0023223F" w:rsidRDefault="009F2080" w:rsidP="00020B31">
            <w:pPr>
              <w:rPr>
                <w:sz w:val="18"/>
                <w:szCs w:val="18"/>
              </w:rPr>
            </w:pPr>
            <w:r w:rsidRPr="00305566">
              <w:rPr>
                <w:sz w:val="18"/>
                <w:szCs w:val="18"/>
              </w:rPr>
              <w:t>2.1.</w:t>
            </w:r>
            <w:r>
              <w:rPr>
                <w:sz w:val="18"/>
                <w:szCs w:val="18"/>
              </w:rPr>
              <w:t>2</w:t>
            </w:r>
          </w:p>
        </w:tc>
        <w:tc>
          <w:tcPr>
            <w:tcW w:w="4174" w:type="dxa"/>
            <w:hideMark/>
          </w:tcPr>
          <w:p w14:paraId="7C4C4971" w14:textId="77777777" w:rsidR="009F2080" w:rsidRPr="0023223F" w:rsidRDefault="009F2080" w:rsidP="00020B31">
            <w:pPr>
              <w:rPr>
                <w:sz w:val="18"/>
                <w:szCs w:val="18"/>
              </w:rPr>
            </w:pPr>
            <w:r w:rsidRPr="0023223F">
              <w:rPr>
                <w:sz w:val="18"/>
                <w:szCs w:val="18"/>
              </w:rPr>
              <w:t>All habitable rooms must have a minimum floor-to-ceiling height of 2.5 metres between finished floor level and finished ceiling level.</w:t>
            </w:r>
          </w:p>
        </w:tc>
        <w:tc>
          <w:tcPr>
            <w:tcW w:w="4290" w:type="dxa"/>
            <w:hideMark/>
          </w:tcPr>
          <w:p w14:paraId="15AA5BFB" w14:textId="77777777" w:rsidR="009F2080" w:rsidRPr="0023223F" w:rsidRDefault="009F2080" w:rsidP="00020B31">
            <w:pPr>
              <w:rPr>
                <w:sz w:val="18"/>
                <w:szCs w:val="18"/>
              </w:rPr>
            </w:pPr>
            <w:r w:rsidRPr="0023223F">
              <w:rPr>
                <w:sz w:val="18"/>
                <w:szCs w:val="18"/>
              </w:rPr>
              <w:t>Policy C4.3.2 of Good Quality Homes for all Londoners SPG. </w:t>
            </w:r>
          </w:p>
          <w:p w14:paraId="43975D43" w14:textId="77777777" w:rsidR="009F2080" w:rsidRPr="0023223F" w:rsidRDefault="009F2080" w:rsidP="00020B31">
            <w:pPr>
              <w:rPr>
                <w:sz w:val="18"/>
                <w:szCs w:val="18"/>
              </w:rPr>
            </w:pPr>
            <w:r w:rsidRPr="0023223F">
              <w:rPr>
                <w:sz w:val="18"/>
                <w:szCs w:val="18"/>
              </w:rPr>
              <w:br/>
              <w:t>Relevant London Plan policies: D6 </w:t>
            </w:r>
          </w:p>
        </w:tc>
      </w:tr>
      <w:tr w:rsidR="009F2080" w:rsidRPr="00B85BD9" w14:paraId="3F89AACF" w14:textId="77777777" w:rsidTr="00020B31">
        <w:tc>
          <w:tcPr>
            <w:tcW w:w="581" w:type="dxa"/>
            <w:hideMark/>
          </w:tcPr>
          <w:p w14:paraId="0C983111" w14:textId="77777777" w:rsidR="009F2080" w:rsidRPr="0023223F" w:rsidRDefault="009F2080" w:rsidP="00020B31">
            <w:pPr>
              <w:rPr>
                <w:sz w:val="18"/>
                <w:szCs w:val="18"/>
              </w:rPr>
            </w:pPr>
            <w:r w:rsidRPr="00305566">
              <w:rPr>
                <w:sz w:val="18"/>
                <w:szCs w:val="18"/>
              </w:rPr>
              <w:t>2.1.</w:t>
            </w:r>
            <w:r>
              <w:rPr>
                <w:sz w:val="18"/>
                <w:szCs w:val="18"/>
              </w:rPr>
              <w:t>3</w:t>
            </w:r>
          </w:p>
        </w:tc>
        <w:tc>
          <w:tcPr>
            <w:tcW w:w="4174" w:type="dxa"/>
            <w:hideMark/>
          </w:tcPr>
          <w:p w14:paraId="459F1B6A" w14:textId="77777777" w:rsidR="009F2080" w:rsidRPr="0023223F" w:rsidRDefault="009F2080" w:rsidP="00020B31">
            <w:pPr>
              <w:rPr>
                <w:sz w:val="18"/>
                <w:szCs w:val="18"/>
              </w:rPr>
            </w:pPr>
            <w:r w:rsidRPr="0023223F">
              <w:rPr>
                <w:sz w:val="18"/>
                <w:szCs w:val="18"/>
              </w:rPr>
              <w:t>All homes must provide a minimum of 5 sqm of private outdoor space for one-to-two person dwellings and must provide an extra 1 sqm for each additional occupant.</w:t>
            </w:r>
          </w:p>
        </w:tc>
        <w:tc>
          <w:tcPr>
            <w:tcW w:w="4290" w:type="dxa"/>
            <w:hideMark/>
          </w:tcPr>
          <w:p w14:paraId="03EB7ADE" w14:textId="77777777" w:rsidR="009F2080" w:rsidRPr="0023223F" w:rsidRDefault="009F2080" w:rsidP="00020B31">
            <w:pPr>
              <w:rPr>
                <w:sz w:val="18"/>
                <w:szCs w:val="18"/>
              </w:rPr>
            </w:pPr>
            <w:r w:rsidRPr="0023223F">
              <w:rPr>
                <w:sz w:val="18"/>
                <w:szCs w:val="18"/>
              </w:rPr>
              <w:t>Policy C4.2.1 of Good Quality Homes for all Londoners SPG. </w:t>
            </w:r>
          </w:p>
          <w:p w14:paraId="7BD54374" w14:textId="77777777" w:rsidR="009F2080" w:rsidRPr="0023223F" w:rsidRDefault="009F2080" w:rsidP="00020B31">
            <w:pPr>
              <w:rPr>
                <w:sz w:val="18"/>
                <w:szCs w:val="18"/>
              </w:rPr>
            </w:pPr>
            <w:r w:rsidRPr="0023223F">
              <w:rPr>
                <w:sz w:val="18"/>
                <w:szCs w:val="18"/>
              </w:rPr>
              <w:br/>
              <w:t>Relevant London Plan policies: D6, D7 </w:t>
            </w:r>
          </w:p>
        </w:tc>
      </w:tr>
      <w:tr w:rsidR="009F2080" w:rsidRPr="00B85BD9" w14:paraId="4EEB4F24" w14:textId="77777777" w:rsidTr="00020B31">
        <w:tc>
          <w:tcPr>
            <w:tcW w:w="581" w:type="dxa"/>
            <w:hideMark/>
          </w:tcPr>
          <w:p w14:paraId="1F6A8FCF" w14:textId="77777777" w:rsidR="009F2080" w:rsidRPr="0023223F" w:rsidRDefault="009F2080" w:rsidP="00020B31">
            <w:pPr>
              <w:rPr>
                <w:sz w:val="18"/>
                <w:szCs w:val="18"/>
              </w:rPr>
            </w:pPr>
            <w:r w:rsidRPr="00786A86">
              <w:rPr>
                <w:sz w:val="18"/>
                <w:szCs w:val="18"/>
              </w:rPr>
              <w:t>2.1.</w:t>
            </w:r>
            <w:r>
              <w:rPr>
                <w:sz w:val="18"/>
                <w:szCs w:val="18"/>
              </w:rPr>
              <w:t>4</w:t>
            </w:r>
          </w:p>
        </w:tc>
        <w:tc>
          <w:tcPr>
            <w:tcW w:w="4174" w:type="dxa"/>
            <w:hideMark/>
          </w:tcPr>
          <w:p w14:paraId="561BAC0C" w14:textId="77777777" w:rsidR="009F2080" w:rsidRPr="0023223F" w:rsidRDefault="009F2080" w:rsidP="00020B31">
            <w:pPr>
              <w:rPr>
                <w:sz w:val="18"/>
                <w:szCs w:val="18"/>
              </w:rPr>
            </w:pPr>
            <w:r w:rsidRPr="0023223F">
              <w:rPr>
                <w:sz w:val="18"/>
                <w:szCs w:val="18"/>
              </w:rPr>
              <w:t>Where 10 or more children or young people are expected to live in the affordable dwellings, these must be at least 10m2 of play space per child.</w:t>
            </w:r>
          </w:p>
        </w:tc>
        <w:tc>
          <w:tcPr>
            <w:tcW w:w="4290" w:type="dxa"/>
            <w:hideMark/>
          </w:tcPr>
          <w:p w14:paraId="7EA43CDF" w14:textId="77777777" w:rsidR="009F2080" w:rsidRPr="0023223F" w:rsidRDefault="009F2080" w:rsidP="00020B31">
            <w:pPr>
              <w:rPr>
                <w:sz w:val="18"/>
                <w:szCs w:val="18"/>
              </w:rPr>
            </w:pPr>
            <w:r w:rsidRPr="0023223F">
              <w:rPr>
                <w:sz w:val="18"/>
                <w:szCs w:val="18"/>
              </w:rPr>
              <w:t>Policy C1.4.2 of Good Quality Homes for all Londoners SPG. </w:t>
            </w:r>
          </w:p>
          <w:p w14:paraId="7DC02228" w14:textId="77777777" w:rsidR="009F2080" w:rsidRPr="0023223F" w:rsidRDefault="009F2080" w:rsidP="00020B31">
            <w:pPr>
              <w:rPr>
                <w:sz w:val="18"/>
                <w:szCs w:val="18"/>
              </w:rPr>
            </w:pPr>
            <w:r w:rsidRPr="0023223F">
              <w:rPr>
                <w:sz w:val="18"/>
                <w:szCs w:val="18"/>
              </w:rPr>
              <w:br/>
              <w:t>Relevant London Plan policies: GG3, GG6, D5, D6, S4, G1, G4, G5, G6, G7, G8, SI 1, SI 13</w:t>
            </w:r>
          </w:p>
        </w:tc>
      </w:tr>
      <w:tr w:rsidR="009F2080" w:rsidRPr="00B85BD9" w14:paraId="21AE8E66" w14:textId="77777777" w:rsidTr="00020B31">
        <w:tc>
          <w:tcPr>
            <w:tcW w:w="581" w:type="dxa"/>
            <w:hideMark/>
          </w:tcPr>
          <w:p w14:paraId="34480699" w14:textId="77777777" w:rsidR="009F2080" w:rsidRPr="0023223F" w:rsidRDefault="009F2080" w:rsidP="00020B31">
            <w:pPr>
              <w:rPr>
                <w:sz w:val="18"/>
                <w:szCs w:val="18"/>
              </w:rPr>
            </w:pPr>
            <w:r w:rsidRPr="00786A86">
              <w:rPr>
                <w:sz w:val="18"/>
                <w:szCs w:val="18"/>
              </w:rPr>
              <w:t>2.1.</w:t>
            </w:r>
            <w:r>
              <w:rPr>
                <w:sz w:val="18"/>
                <w:szCs w:val="18"/>
              </w:rPr>
              <w:t>5</w:t>
            </w:r>
          </w:p>
        </w:tc>
        <w:tc>
          <w:tcPr>
            <w:tcW w:w="4174" w:type="dxa"/>
            <w:hideMark/>
          </w:tcPr>
          <w:p w14:paraId="4A31F259" w14:textId="77777777" w:rsidR="009F2080" w:rsidRPr="0023223F" w:rsidRDefault="009F2080" w:rsidP="00020B31">
            <w:pPr>
              <w:rPr>
                <w:sz w:val="18"/>
                <w:szCs w:val="18"/>
              </w:rPr>
            </w:pPr>
            <w:r w:rsidRPr="0023223F">
              <w:rPr>
                <w:sz w:val="18"/>
                <w:szCs w:val="18"/>
              </w:rPr>
              <w:t>The number of homes accessed from a single core must not exceed 8 homes per floor.</w:t>
            </w:r>
          </w:p>
        </w:tc>
        <w:tc>
          <w:tcPr>
            <w:tcW w:w="4290" w:type="dxa"/>
            <w:hideMark/>
          </w:tcPr>
          <w:p w14:paraId="792B2735" w14:textId="77777777" w:rsidR="009F2080" w:rsidRPr="0023223F" w:rsidRDefault="009F2080" w:rsidP="00020B31">
            <w:pPr>
              <w:rPr>
                <w:sz w:val="18"/>
                <w:szCs w:val="18"/>
              </w:rPr>
            </w:pPr>
            <w:r w:rsidRPr="0023223F">
              <w:rPr>
                <w:sz w:val="18"/>
                <w:szCs w:val="18"/>
              </w:rPr>
              <w:t>Policy C3.1.2 of Good Quality Homes for all Londoners SPG.</w:t>
            </w:r>
          </w:p>
          <w:p w14:paraId="078C0528" w14:textId="77777777" w:rsidR="009F2080" w:rsidRPr="0023223F" w:rsidRDefault="009F2080" w:rsidP="00020B31">
            <w:pPr>
              <w:rPr>
                <w:sz w:val="18"/>
                <w:szCs w:val="18"/>
              </w:rPr>
            </w:pPr>
            <w:r w:rsidRPr="0023223F">
              <w:rPr>
                <w:sz w:val="18"/>
                <w:szCs w:val="18"/>
              </w:rPr>
              <w:t> </w:t>
            </w:r>
            <w:r w:rsidRPr="0023223F">
              <w:rPr>
                <w:sz w:val="18"/>
                <w:szCs w:val="18"/>
              </w:rPr>
              <w:br/>
              <w:t>Relevant London Plan policies: D1, D5, D6, D8, S17, T7 </w:t>
            </w:r>
          </w:p>
        </w:tc>
      </w:tr>
      <w:tr w:rsidR="009F2080" w:rsidRPr="009A15DF" w14:paraId="3E346FA3" w14:textId="77777777" w:rsidTr="00020B31">
        <w:tc>
          <w:tcPr>
            <w:tcW w:w="581" w:type="dxa"/>
            <w:hideMark/>
          </w:tcPr>
          <w:p w14:paraId="4099A1BE" w14:textId="77777777" w:rsidR="009F2080" w:rsidRPr="0023223F" w:rsidRDefault="009F2080" w:rsidP="00020B31">
            <w:pPr>
              <w:rPr>
                <w:sz w:val="18"/>
                <w:szCs w:val="18"/>
              </w:rPr>
            </w:pPr>
            <w:r w:rsidRPr="00786A86">
              <w:rPr>
                <w:sz w:val="18"/>
                <w:szCs w:val="18"/>
              </w:rPr>
              <w:t>2.1.</w:t>
            </w:r>
            <w:r>
              <w:rPr>
                <w:sz w:val="18"/>
                <w:szCs w:val="18"/>
              </w:rPr>
              <w:t>6</w:t>
            </w:r>
          </w:p>
        </w:tc>
        <w:tc>
          <w:tcPr>
            <w:tcW w:w="4174" w:type="dxa"/>
            <w:hideMark/>
          </w:tcPr>
          <w:p w14:paraId="60DEC2D3" w14:textId="77777777" w:rsidR="009F2080" w:rsidRPr="0023223F" w:rsidRDefault="009F2080" w:rsidP="00020B31">
            <w:pPr>
              <w:rPr>
                <w:sz w:val="18"/>
                <w:szCs w:val="18"/>
              </w:rPr>
            </w:pPr>
            <w:r w:rsidRPr="0023223F">
              <w:rPr>
                <w:sz w:val="18"/>
                <w:szCs w:val="18"/>
              </w:rPr>
              <w:t>All homes with three bedrooms or more must be dual aspect. Any single aspect one-bedroom or two-bedroom dwellings must not be north-facing.</w:t>
            </w:r>
          </w:p>
        </w:tc>
        <w:tc>
          <w:tcPr>
            <w:tcW w:w="4290" w:type="dxa"/>
            <w:hideMark/>
          </w:tcPr>
          <w:p w14:paraId="5CE4F975" w14:textId="77777777" w:rsidR="009F2080" w:rsidRPr="0023223F" w:rsidRDefault="009F2080" w:rsidP="00020B31">
            <w:pPr>
              <w:rPr>
                <w:sz w:val="18"/>
                <w:szCs w:val="18"/>
              </w:rPr>
            </w:pPr>
            <w:r w:rsidRPr="0023223F">
              <w:rPr>
                <w:sz w:val="18"/>
                <w:szCs w:val="18"/>
              </w:rPr>
              <w:t>Policy C5.2.1 of Good Quality Homes for Londoners SPG.</w:t>
            </w:r>
          </w:p>
          <w:p w14:paraId="5742F16B" w14:textId="77777777" w:rsidR="009F2080" w:rsidRPr="0023223F" w:rsidRDefault="009F2080" w:rsidP="00020B31">
            <w:pPr>
              <w:rPr>
                <w:sz w:val="18"/>
                <w:szCs w:val="18"/>
                <w:lang w:val="es-ES"/>
              </w:rPr>
            </w:pPr>
            <w:r w:rsidRPr="0023223F">
              <w:rPr>
                <w:sz w:val="18"/>
                <w:szCs w:val="18"/>
              </w:rPr>
              <w:t> </w:t>
            </w:r>
            <w:r w:rsidRPr="009A15DF">
              <w:rPr>
                <w:sz w:val="18"/>
                <w:szCs w:val="18"/>
                <w:lang w:val="es-ES"/>
              </w:rPr>
              <w:br/>
            </w:r>
            <w:r w:rsidRPr="0023223F">
              <w:rPr>
                <w:sz w:val="18"/>
                <w:szCs w:val="18"/>
                <w:lang w:val="es-ES"/>
              </w:rPr>
              <w:t>Relevant London Plan policies: D6, D8, SI 2, SI 4 </w:t>
            </w:r>
          </w:p>
        </w:tc>
      </w:tr>
      <w:tr w:rsidR="009F2080" w:rsidRPr="00B85BD9" w14:paraId="513EC597" w14:textId="77777777" w:rsidTr="00020B31">
        <w:tc>
          <w:tcPr>
            <w:tcW w:w="581" w:type="dxa"/>
            <w:hideMark/>
          </w:tcPr>
          <w:p w14:paraId="7CAB8AEA" w14:textId="77777777" w:rsidR="009F2080" w:rsidRPr="0023223F" w:rsidRDefault="009F2080" w:rsidP="00020B31">
            <w:pPr>
              <w:rPr>
                <w:sz w:val="18"/>
                <w:szCs w:val="18"/>
              </w:rPr>
            </w:pPr>
            <w:r w:rsidRPr="00786A86">
              <w:rPr>
                <w:sz w:val="18"/>
                <w:szCs w:val="18"/>
              </w:rPr>
              <w:t>2.1.</w:t>
            </w:r>
            <w:r>
              <w:rPr>
                <w:sz w:val="18"/>
                <w:szCs w:val="18"/>
              </w:rPr>
              <w:t>7</w:t>
            </w:r>
          </w:p>
        </w:tc>
        <w:tc>
          <w:tcPr>
            <w:tcW w:w="4174" w:type="dxa"/>
            <w:hideMark/>
          </w:tcPr>
          <w:p w14:paraId="5BFD36E1" w14:textId="77777777" w:rsidR="009F2080" w:rsidRPr="0023223F" w:rsidRDefault="009F2080" w:rsidP="00020B31">
            <w:pPr>
              <w:rPr>
                <w:sz w:val="18"/>
                <w:szCs w:val="18"/>
              </w:rPr>
            </w:pPr>
            <w:r w:rsidRPr="0023223F">
              <w:rPr>
                <w:sz w:val="18"/>
                <w:szCs w:val="18"/>
              </w:rPr>
              <w:t>All homes must provide for direct sunlight to enter at least one habitable room for part of the day.</w:t>
            </w:r>
          </w:p>
        </w:tc>
        <w:tc>
          <w:tcPr>
            <w:tcW w:w="4290" w:type="dxa"/>
            <w:hideMark/>
          </w:tcPr>
          <w:p w14:paraId="1C2F49F4" w14:textId="77777777" w:rsidR="009F2080" w:rsidRPr="0023223F" w:rsidRDefault="009F2080" w:rsidP="00020B31">
            <w:pPr>
              <w:rPr>
                <w:sz w:val="18"/>
                <w:szCs w:val="18"/>
              </w:rPr>
            </w:pPr>
            <w:r w:rsidRPr="0023223F">
              <w:rPr>
                <w:sz w:val="18"/>
                <w:szCs w:val="18"/>
              </w:rPr>
              <w:t>Policy C5.3.3 of Good Quality Homes for all Londoners SPG.</w:t>
            </w:r>
          </w:p>
          <w:p w14:paraId="5D34E4EA" w14:textId="77777777" w:rsidR="009F2080" w:rsidRPr="0023223F" w:rsidRDefault="009F2080" w:rsidP="00020B31">
            <w:pPr>
              <w:rPr>
                <w:sz w:val="18"/>
                <w:szCs w:val="18"/>
              </w:rPr>
            </w:pPr>
            <w:r w:rsidRPr="0023223F">
              <w:rPr>
                <w:sz w:val="18"/>
                <w:szCs w:val="18"/>
              </w:rPr>
              <w:t> </w:t>
            </w:r>
            <w:r w:rsidRPr="0023223F">
              <w:rPr>
                <w:sz w:val="18"/>
                <w:szCs w:val="18"/>
              </w:rPr>
              <w:br/>
              <w:t>Relevant London Plan policies: D1, D6, SI2, SI 4, S12, S14 </w:t>
            </w:r>
          </w:p>
        </w:tc>
      </w:tr>
      <w:tr w:rsidR="009F2080" w:rsidRPr="00B85BD9" w14:paraId="5B51EF5E" w14:textId="77777777" w:rsidTr="00020B31">
        <w:tc>
          <w:tcPr>
            <w:tcW w:w="581" w:type="dxa"/>
            <w:hideMark/>
          </w:tcPr>
          <w:p w14:paraId="702F10DD" w14:textId="77777777" w:rsidR="009F2080" w:rsidRPr="0023223F" w:rsidRDefault="009F2080" w:rsidP="00020B31">
            <w:pPr>
              <w:rPr>
                <w:sz w:val="18"/>
                <w:szCs w:val="18"/>
              </w:rPr>
            </w:pPr>
            <w:r w:rsidRPr="00786A86">
              <w:rPr>
                <w:sz w:val="18"/>
                <w:szCs w:val="18"/>
              </w:rPr>
              <w:t>2.1.</w:t>
            </w:r>
            <w:r>
              <w:rPr>
                <w:sz w:val="18"/>
                <w:szCs w:val="18"/>
              </w:rPr>
              <w:t>8</w:t>
            </w:r>
          </w:p>
        </w:tc>
        <w:tc>
          <w:tcPr>
            <w:tcW w:w="4174" w:type="dxa"/>
            <w:hideMark/>
          </w:tcPr>
          <w:p w14:paraId="58A6D469" w14:textId="77777777" w:rsidR="009F2080" w:rsidRPr="0023223F" w:rsidRDefault="009F2080" w:rsidP="00020B31">
            <w:pPr>
              <w:rPr>
                <w:sz w:val="18"/>
                <w:szCs w:val="18"/>
              </w:rPr>
            </w:pPr>
            <w:r w:rsidRPr="0023223F">
              <w:rPr>
                <w:sz w:val="18"/>
                <w:szCs w:val="18"/>
              </w:rPr>
              <w:t>For developments with 10+ homes, at least 10 per cent of dwellings should meet Building Regulation M4(3) requirements for wheelchair user dwellings. All other new build dwellings within the development should meet Building Regulation M4(2) requirement for accessible and adaptable dwellings.</w:t>
            </w:r>
          </w:p>
        </w:tc>
        <w:tc>
          <w:tcPr>
            <w:tcW w:w="4290" w:type="dxa"/>
            <w:hideMark/>
          </w:tcPr>
          <w:p w14:paraId="132FB02A" w14:textId="77777777" w:rsidR="009F2080" w:rsidRPr="0023223F" w:rsidRDefault="009F2080" w:rsidP="00020B31">
            <w:pPr>
              <w:rPr>
                <w:sz w:val="18"/>
                <w:szCs w:val="18"/>
              </w:rPr>
            </w:pPr>
            <w:r w:rsidRPr="0023223F">
              <w:rPr>
                <w:sz w:val="18"/>
                <w:szCs w:val="18"/>
              </w:rPr>
              <w:t>Policy C4.1.3 of Good Quality Homes for all Londoners SPG.</w:t>
            </w:r>
          </w:p>
          <w:p w14:paraId="278603F1" w14:textId="77777777" w:rsidR="009F2080" w:rsidRPr="0023223F" w:rsidRDefault="009F2080" w:rsidP="00020B31">
            <w:pPr>
              <w:rPr>
                <w:sz w:val="18"/>
                <w:szCs w:val="18"/>
              </w:rPr>
            </w:pPr>
            <w:r w:rsidRPr="0023223F">
              <w:rPr>
                <w:sz w:val="18"/>
                <w:szCs w:val="18"/>
              </w:rPr>
              <w:t> </w:t>
            </w:r>
            <w:r w:rsidRPr="0023223F">
              <w:rPr>
                <w:sz w:val="18"/>
                <w:szCs w:val="18"/>
              </w:rPr>
              <w:br/>
              <w:t>Relevant London Plan policies: D5, D6, D7 </w:t>
            </w:r>
          </w:p>
        </w:tc>
      </w:tr>
      <w:tr w:rsidR="009F2080" w:rsidRPr="00B85BD9" w14:paraId="5882DF85" w14:textId="77777777" w:rsidTr="00020B31">
        <w:tc>
          <w:tcPr>
            <w:tcW w:w="581" w:type="dxa"/>
            <w:hideMark/>
          </w:tcPr>
          <w:p w14:paraId="7158D98A" w14:textId="77777777" w:rsidR="009F2080" w:rsidRPr="0023223F" w:rsidRDefault="009F2080" w:rsidP="00020B31">
            <w:pPr>
              <w:rPr>
                <w:sz w:val="18"/>
                <w:szCs w:val="18"/>
              </w:rPr>
            </w:pPr>
            <w:r w:rsidRPr="00786A86">
              <w:rPr>
                <w:sz w:val="18"/>
                <w:szCs w:val="18"/>
              </w:rPr>
              <w:t>2.1.</w:t>
            </w:r>
            <w:r>
              <w:rPr>
                <w:sz w:val="18"/>
                <w:szCs w:val="18"/>
              </w:rPr>
              <w:t>9</w:t>
            </w:r>
          </w:p>
        </w:tc>
        <w:tc>
          <w:tcPr>
            <w:tcW w:w="4174" w:type="dxa"/>
            <w:hideMark/>
          </w:tcPr>
          <w:p w14:paraId="789E6EA7" w14:textId="77777777" w:rsidR="009F2080" w:rsidRPr="0023223F" w:rsidRDefault="009F2080" w:rsidP="00020B31">
            <w:pPr>
              <w:rPr>
                <w:sz w:val="18"/>
                <w:szCs w:val="18"/>
              </w:rPr>
            </w:pPr>
            <w:r w:rsidRPr="0023223F">
              <w:rPr>
                <w:sz w:val="18"/>
                <w:szCs w:val="18"/>
              </w:rPr>
              <w:t>All developments of 50+ residential dwellings must be subject to an independent design review as part of the planning process.</w:t>
            </w:r>
          </w:p>
        </w:tc>
        <w:tc>
          <w:tcPr>
            <w:tcW w:w="4290" w:type="dxa"/>
            <w:hideMark/>
          </w:tcPr>
          <w:p w14:paraId="7107EFAE" w14:textId="77777777" w:rsidR="009F2080" w:rsidRPr="0023223F" w:rsidRDefault="009F2080" w:rsidP="00020B31">
            <w:pPr>
              <w:rPr>
                <w:sz w:val="18"/>
                <w:szCs w:val="18"/>
              </w:rPr>
            </w:pPr>
            <w:r w:rsidRPr="0023223F">
              <w:rPr>
                <w:sz w:val="18"/>
                <w:szCs w:val="18"/>
              </w:rPr>
              <w:t>Relevant London Plan policy: D</w:t>
            </w:r>
          </w:p>
        </w:tc>
      </w:tr>
    </w:tbl>
    <w:p w14:paraId="2FC5CE27" w14:textId="77777777" w:rsidR="009F2080" w:rsidRDefault="009F2080" w:rsidP="009F2080"/>
    <w:tbl>
      <w:tblPr>
        <w:tblStyle w:val="TableGrid"/>
        <w:tblW w:w="9067" w:type="dxa"/>
        <w:tblLook w:val="04A0" w:firstRow="1" w:lastRow="0" w:firstColumn="1" w:lastColumn="0" w:noHBand="0" w:noVBand="1"/>
      </w:tblPr>
      <w:tblGrid>
        <w:gridCol w:w="672"/>
        <w:gridCol w:w="1193"/>
        <w:gridCol w:w="1342"/>
        <w:gridCol w:w="5860"/>
      </w:tblGrid>
      <w:tr w:rsidR="009F2080" w14:paraId="19A22D3B" w14:textId="77777777" w:rsidTr="009A15DF">
        <w:tc>
          <w:tcPr>
            <w:tcW w:w="672" w:type="dxa"/>
          </w:tcPr>
          <w:p w14:paraId="52828A07" w14:textId="77777777" w:rsidR="009F2080" w:rsidRPr="00B26A0D" w:rsidRDefault="009F2080" w:rsidP="00020B31">
            <w:pPr>
              <w:rPr>
                <w:rFonts w:cstheme="minorHAnsi"/>
                <w:sz w:val="18"/>
                <w:szCs w:val="18"/>
              </w:rPr>
            </w:pPr>
            <w:r w:rsidRPr="00950487">
              <w:rPr>
                <w:sz w:val="18"/>
                <w:szCs w:val="18"/>
              </w:rPr>
              <w:t>2.1.</w:t>
            </w:r>
            <w:r>
              <w:rPr>
                <w:sz w:val="18"/>
                <w:szCs w:val="18"/>
              </w:rPr>
              <w:t>10</w:t>
            </w:r>
          </w:p>
        </w:tc>
        <w:tc>
          <w:tcPr>
            <w:tcW w:w="1193" w:type="dxa"/>
          </w:tcPr>
          <w:p w14:paraId="74F622E7" w14:textId="77777777" w:rsidR="009F2080" w:rsidRPr="00B26A0D" w:rsidRDefault="009F2080" w:rsidP="00020B31">
            <w:pPr>
              <w:rPr>
                <w:rFonts w:cstheme="minorHAnsi"/>
                <w:sz w:val="18"/>
                <w:szCs w:val="18"/>
              </w:rPr>
            </w:pPr>
            <w:r w:rsidRPr="00B26A0D">
              <w:rPr>
                <w:rFonts w:cstheme="minorHAnsi"/>
                <w:sz w:val="18"/>
                <w:szCs w:val="18"/>
              </w:rPr>
              <w:t>Sustainability standard 1</w:t>
            </w:r>
          </w:p>
        </w:tc>
        <w:tc>
          <w:tcPr>
            <w:tcW w:w="1342" w:type="dxa"/>
          </w:tcPr>
          <w:p w14:paraId="21A5FB7F" w14:textId="77777777" w:rsidR="009F2080" w:rsidRPr="00B26A0D" w:rsidRDefault="009F2080" w:rsidP="00020B31">
            <w:pPr>
              <w:rPr>
                <w:rFonts w:cstheme="minorHAnsi"/>
                <w:sz w:val="18"/>
                <w:szCs w:val="18"/>
              </w:rPr>
            </w:pPr>
            <w:r w:rsidRPr="00B26A0D">
              <w:rPr>
                <w:rFonts w:cstheme="minorHAnsi"/>
                <w:sz w:val="18"/>
                <w:szCs w:val="18"/>
              </w:rPr>
              <w:t>Net Zero Carbon Homes</w:t>
            </w:r>
          </w:p>
        </w:tc>
        <w:tc>
          <w:tcPr>
            <w:tcW w:w="5860" w:type="dxa"/>
          </w:tcPr>
          <w:p w14:paraId="77ADE91C" w14:textId="77777777" w:rsidR="009F2080" w:rsidRPr="00B26A0D" w:rsidRDefault="009F2080" w:rsidP="00020B31">
            <w:pPr>
              <w:rPr>
                <w:rFonts w:cstheme="minorHAnsi"/>
                <w:sz w:val="18"/>
                <w:szCs w:val="18"/>
              </w:rPr>
            </w:pPr>
            <w:r w:rsidRPr="00B26A0D">
              <w:rPr>
                <w:rFonts w:cstheme="minorHAnsi"/>
                <w:sz w:val="18"/>
                <w:szCs w:val="18"/>
              </w:rPr>
              <w:t>Policy SI.2.C of the London Plan requires all developments of 10 or more homes to be net zero-carbon. This must include at least a 35% reduction in on-site carbon dioxide emissions against Part L 2013 of the Building Regulations, of which there must be at least a 10% reduction from energy efficiency measures. Any shortfall in emissions to net-zero must be paid into the borough’s carbon offset fund.</w:t>
            </w:r>
          </w:p>
          <w:p w14:paraId="65D4DD4B" w14:textId="77777777" w:rsidR="009F2080" w:rsidRPr="00B26A0D" w:rsidRDefault="009F2080" w:rsidP="00020B31">
            <w:pPr>
              <w:rPr>
                <w:rFonts w:cstheme="minorHAnsi"/>
                <w:sz w:val="18"/>
                <w:szCs w:val="18"/>
              </w:rPr>
            </w:pPr>
          </w:p>
          <w:p w14:paraId="323A657B" w14:textId="77777777" w:rsidR="009F2080" w:rsidRPr="00B26A0D" w:rsidRDefault="009F2080" w:rsidP="00020B31">
            <w:pPr>
              <w:rPr>
                <w:rFonts w:cstheme="minorHAnsi"/>
                <w:sz w:val="18"/>
                <w:szCs w:val="18"/>
              </w:rPr>
            </w:pPr>
            <w:r w:rsidRPr="00B26A0D">
              <w:rPr>
                <w:rFonts w:cstheme="minorHAnsi"/>
                <w:sz w:val="18"/>
                <w:szCs w:val="18"/>
              </w:rPr>
              <w:t xml:space="preserve">The Mayor’s Energy Hierarchy - ‘Be Lean, Be Clean, Be Green, Be Seen’ - is set out in Policy S1.2.A of the London Plan. The Energy Hierarchy should inform the approach to achieving the minimum 35% reduction against Part L 2013. ‘Be Lean’ prioritises efficiency of the building fabric, minimising the </w:t>
            </w:r>
            <w:r w:rsidRPr="00B26A0D">
              <w:rPr>
                <w:rFonts w:cstheme="minorHAnsi"/>
                <w:sz w:val="18"/>
                <w:szCs w:val="18"/>
              </w:rPr>
              <w:lastRenderedPageBreak/>
              <w:t>overall energy demand of the building. Of the minimum 35% on site reduction, a minimum of 10% should be achieved by fabric efficiency.</w:t>
            </w:r>
          </w:p>
          <w:p w14:paraId="0553F45B" w14:textId="77777777" w:rsidR="009F2080" w:rsidRPr="00B26A0D" w:rsidRDefault="009F2080" w:rsidP="00020B31">
            <w:pPr>
              <w:rPr>
                <w:rFonts w:cstheme="minorHAnsi"/>
                <w:sz w:val="18"/>
                <w:szCs w:val="18"/>
              </w:rPr>
            </w:pPr>
          </w:p>
          <w:p w14:paraId="00D20447" w14:textId="77777777" w:rsidR="009F2080" w:rsidRPr="00B26A0D" w:rsidRDefault="009F2080" w:rsidP="00020B31">
            <w:pPr>
              <w:rPr>
                <w:rFonts w:cstheme="minorHAnsi"/>
                <w:sz w:val="18"/>
                <w:szCs w:val="18"/>
              </w:rPr>
            </w:pPr>
            <w:r w:rsidRPr="00B26A0D">
              <w:rPr>
                <w:rFonts w:cstheme="minorHAnsi"/>
                <w:sz w:val="18"/>
                <w:szCs w:val="18"/>
              </w:rPr>
              <w:t>Investment partners must demonstrate, through an Energy Assessment, that on-site carbon emission reductions have been maximised with a minimum 35% reduction in on-site carbon dioxide emissions against Part L 2013 being achieved, and confirm the offset payment that will be made to the borough to cover any shortfall to net zero.</w:t>
            </w:r>
          </w:p>
          <w:p w14:paraId="13FADAA2" w14:textId="77777777" w:rsidR="009F2080" w:rsidRPr="00B26A0D" w:rsidRDefault="009F2080" w:rsidP="00020B31">
            <w:pPr>
              <w:rPr>
                <w:rFonts w:cstheme="minorHAnsi"/>
                <w:sz w:val="18"/>
                <w:szCs w:val="18"/>
              </w:rPr>
            </w:pPr>
          </w:p>
        </w:tc>
      </w:tr>
      <w:tr w:rsidR="009F2080" w14:paraId="1BBCEB3D" w14:textId="77777777" w:rsidTr="009A15DF">
        <w:tc>
          <w:tcPr>
            <w:tcW w:w="672" w:type="dxa"/>
          </w:tcPr>
          <w:p w14:paraId="7DADEE22" w14:textId="77777777" w:rsidR="009F2080" w:rsidRPr="00B26A0D" w:rsidRDefault="009F2080" w:rsidP="00020B31">
            <w:pPr>
              <w:rPr>
                <w:rFonts w:cstheme="minorHAnsi"/>
                <w:sz w:val="18"/>
                <w:szCs w:val="18"/>
              </w:rPr>
            </w:pPr>
            <w:r w:rsidRPr="00950487">
              <w:rPr>
                <w:sz w:val="18"/>
                <w:szCs w:val="18"/>
              </w:rPr>
              <w:lastRenderedPageBreak/>
              <w:t>2.1.</w:t>
            </w:r>
            <w:r>
              <w:rPr>
                <w:sz w:val="18"/>
                <w:szCs w:val="18"/>
              </w:rPr>
              <w:t>11</w:t>
            </w:r>
          </w:p>
        </w:tc>
        <w:tc>
          <w:tcPr>
            <w:tcW w:w="1193" w:type="dxa"/>
          </w:tcPr>
          <w:p w14:paraId="149591AB" w14:textId="77777777" w:rsidR="009F2080" w:rsidRPr="00B26A0D" w:rsidRDefault="009F2080" w:rsidP="00020B31">
            <w:pPr>
              <w:rPr>
                <w:rFonts w:cstheme="minorHAnsi"/>
                <w:sz w:val="18"/>
                <w:szCs w:val="18"/>
              </w:rPr>
            </w:pPr>
            <w:r w:rsidRPr="00B26A0D">
              <w:rPr>
                <w:rFonts w:cstheme="minorHAnsi"/>
                <w:sz w:val="18"/>
                <w:szCs w:val="18"/>
              </w:rPr>
              <w:t>Sustainability standard 2</w:t>
            </w:r>
          </w:p>
        </w:tc>
        <w:tc>
          <w:tcPr>
            <w:tcW w:w="1342" w:type="dxa"/>
          </w:tcPr>
          <w:p w14:paraId="4901FA01" w14:textId="77777777" w:rsidR="009F2080" w:rsidRPr="00B26A0D" w:rsidRDefault="009F2080" w:rsidP="00020B31">
            <w:pPr>
              <w:rPr>
                <w:rFonts w:cstheme="minorHAnsi"/>
                <w:sz w:val="18"/>
                <w:szCs w:val="18"/>
              </w:rPr>
            </w:pPr>
            <w:r w:rsidRPr="00B26A0D">
              <w:rPr>
                <w:rFonts w:cstheme="minorHAnsi"/>
                <w:sz w:val="18"/>
                <w:szCs w:val="18"/>
              </w:rPr>
              <w:t>Whole-life cycle Carbon Assessment</w:t>
            </w:r>
          </w:p>
        </w:tc>
        <w:tc>
          <w:tcPr>
            <w:tcW w:w="5860" w:type="dxa"/>
          </w:tcPr>
          <w:p w14:paraId="6BE0CAA2" w14:textId="77777777" w:rsidR="009F2080" w:rsidRPr="00B26A0D" w:rsidRDefault="009F2080" w:rsidP="00020B31">
            <w:pPr>
              <w:rPr>
                <w:rFonts w:cstheme="minorHAnsi"/>
                <w:sz w:val="18"/>
                <w:szCs w:val="18"/>
              </w:rPr>
            </w:pPr>
            <w:r w:rsidRPr="00B26A0D">
              <w:rPr>
                <w:rFonts w:cstheme="minorHAnsi"/>
                <w:sz w:val="18"/>
                <w:szCs w:val="18"/>
              </w:rPr>
              <w:t>Policy SI.2.F of the London Plan requires all referable development proposals to calculate whole life-cycle carbon emissions through a nationally recognised Whole Life-Cycle Carbon Assessment and demonstrate actions taken to reduce life-cycle carbon emissions.</w:t>
            </w:r>
          </w:p>
          <w:p w14:paraId="29CA93A0" w14:textId="77777777" w:rsidR="009F2080" w:rsidRPr="00B26A0D" w:rsidRDefault="009F2080" w:rsidP="00020B31">
            <w:pPr>
              <w:rPr>
                <w:rFonts w:cstheme="minorHAnsi"/>
                <w:sz w:val="18"/>
                <w:szCs w:val="18"/>
              </w:rPr>
            </w:pPr>
          </w:p>
          <w:p w14:paraId="5B8E34D2" w14:textId="77777777" w:rsidR="009F2080" w:rsidRPr="00B26A0D" w:rsidRDefault="009F2080" w:rsidP="00020B31">
            <w:pPr>
              <w:rPr>
                <w:rFonts w:cstheme="minorHAnsi"/>
                <w:sz w:val="18"/>
                <w:szCs w:val="18"/>
              </w:rPr>
            </w:pPr>
            <w:r w:rsidRPr="00B26A0D">
              <w:rPr>
                <w:rFonts w:cstheme="minorHAnsi"/>
                <w:sz w:val="18"/>
                <w:szCs w:val="18"/>
              </w:rPr>
              <w:t xml:space="preserve">Whole Life-Cycle Carbon emissions are the carbon emissions resulting from the materials, construction and the use of a building over its entire life, including its demolition and disposal. A Whole Life-Cycle Carbon Assessment provides a true picture of a building’s carbon impact on the environment. </w:t>
            </w:r>
          </w:p>
          <w:p w14:paraId="798D3201" w14:textId="77777777" w:rsidR="009F2080" w:rsidRPr="00B26A0D" w:rsidRDefault="009F2080" w:rsidP="00020B31">
            <w:pPr>
              <w:rPr>
                <w:rFonts w:cstheme="minorHAnsi"/>
                <w:sz w:val="18"/>
                <w:szCs w:val="18"/>
              </w:rPr>
            </w:pPr>
          </w:p>
          <w:p w14:paraId="38C448C6" w14:textId="77777777" w:rsidR="009F2080" w:rsidRPr="00B26A0D" w:rsidRDefault="009F2080" w:rsidP="00020B31">
            <w:pPr>
              <w:rPr>
                <w:rFonts w:cstheme="minorHAnsi"/>
                <w:sz w:val="18"/>
                <w:szCs w:val="18"/>
              </w:rPr>
            </w:pPr>
            <w:r w:rsidRPr="00B26A0D">
              <w:rPr>
                <w:rFonts w:cstheme="minorHAnsi"/>
                <w:sz w:val="18"/>
                <w:szCs w:val="18"/>
              </w:rPr>
              <w:t>Investment partners must demonstrate, through a Whole Life-Cycle Carbon Assessment, the life-cycle carbon emissions of the development, a comparison against the GLA’s benchmarks and actions taken to reduce life-cycle carbon emissions.</w:t>
            </w:r>
          </w:p>
          <w:p w14:paraId="5D28A9DF" w14:textId="77777777" w:rsidR="009F2080" w:rsidRPr="00B26A0D" w:rsidRDefault="009F2080" w:rsidP="00020B31">
            <w:pPr>
              <w:rPr>
                <w:rFonts w:cstheme="minorHAnsi"/>
                <w:sz w:val="18"/>
                <w:szCs w:val="18"/>
              </w:rPr>
            </w:pPr>
          </w:p>
          <w:p w14:paraId="7C09B6F6" w14:textId="77777777" w:rsidR="009F2080" w:rsidRPr="00B26A0D" w:rsidRDefault="009F2080" w:rsidP="00020B31">
            <w:pPr>
              <w:rPr>
                <w:rFonts w:cstheme="minorHAnsi"/>
                <w:sz w:val="18"/>
                <w:szCs w:val="18"/>
              </w:rPr>
            </w:pPr>
            <w:r w:rsidRPr="00B26A0D">
              <w:rPr>
                <w:rFonts w:cstheme="minorHAnsi"/>
                <w:sz w:val="18"/>
                <w:szCs w:val="18"/>
              </w:rPr>
              <w:t>Read the GLA Whole Life-Cycle Carbon Assessments guidance, which explains how the assessment of these carbon emissions should be approached and presented, and includes a Whole Life-Cycle Carbon Assessment template which partners are expected to use.</w:t>
            </w:r>
          </w:p>
        </w:tc>
      </w:tr>
      <w:tr w:rsidR="009F2080" w14:paraId="6613CF92" w14:textId="77777777" w:rsidTr="009A15DF">
        <w:tc>
          <w:tcPr>
            <w:tcW w:w="672" w:type="dxa"/>
          </w:tcPr>
          <w:p w14:paraId="39993DFB" w14:textId="77777777" w:rsidR="009F2080" w:rsidRPr="00B26A0D" w:rsidRDefault="009F2080" w:rsidP="00020B31">
            <w:pPr>
              <w:rPr>
                <w:rFonts w:cstheme="minorHAnsi"/>
                <w:sz w:val="18"/>
                <w:szCs w:val="18"/>
              </w:rPr>
            </w:pPr>
            <w:r w:rsidRPr="00950487">
              <w:rPr>
                <w:sz w:val="18"/>
                <w:szCs w:val="18"/>
              </w:rPr>
              <w:t>2.1.</w:t>
            </w:r>
            <w:r>
              <w:rPr>
                <w:sz w:val="18"/>
                <w:szCs w:val="18"/>
              </w:rPr>
              <w:t>12</w:t>
            </w:r>
          </w:p>
        </w:tc>
        <w:tc>
          <w:tcPr>
            <w:tcW w:w="1193" w:type="dxa"/>
          </w:tcPr>
          <w:p w14:paraId="46EB9036" w14:textId="77777777" w:rsidR="009F2080" w:rsidRPr="00B26A0D" w:rsidRDefault="009F2080" w:rsidP="00020B31">
            <w:pPr>
              <w:rPr>
                <w:rFonts w:cstheme="minorHAnsi"/>
                <w:sz w:val="18"/>
                <w:szCs w:val="18"/>
              </w:rPr>
            </w:pPr>
            <w:r w:rsidRPr="00B26A0D">
              <w:rPr>
                <w:rFonts w:cstheme="minorHAnsi"/>
                <w:sz w:val="18"/>
                <w:szCs w:val="18"/>
              </w:rPr>
              <w:t>Sustainability standard 3</w:t>
            </w:r>
          </w:p>
        </w:tc>
        <w:tc>
          <w:tcPr>
            <w:tcW w:w="1342" w:type="dxa"/>
          </w:tcPr>
          <w:p w14:paraId="56085323" w14:textId="77777777" w:rsidR="009F2080" w:rsidRPr="00B26A0D" w:rsidRDefault="009F2080" w:rsidP="00020B31">
            <w:pPr>
              <w:rPr>
                <w:rFonts w:cstheme="minorHAnsi"/>
                <w:sz w:val="18"/>
                <w:szCs w:val="18"/>
              </w:rPr>
            </w:pPr>
            <w:r w:rsidRPr="00B26A0D">
              <w:rPr>
                <w:rFonts w:cstheme="minorHAnsi"/>
                <w:sz w:val="18"/>
                <w:szCs w:val="18"/>
              </w:rPr>
              <w:t>Be Seen Energy monitoring</w:t>
            </w:r>
          </w:p>
        </w:tc>
        <w:tc>
          <w:tcPr>
            <w:tcW w:w="5860" w:type="dxa"/>
          </w:tcPr>
          <w:p w14:paraId="186A58A8" w14:textId="77777777" w:rsidR="009F2080" w:rsidRPr="00B26A0D" w:rsidRDefault="009F2080" w:rsidP="00020B31">
            <w:pPr>
              <w:rPr>
                <w:rFonts w:cstheme="minorHAnsi"/>
                <w:sz w:val="18"/>
                <w:szCs w:val="18"/>
              </w:rPr>
            </w:pPr>
            <w:r w:rsidRPr="00B26A0D">
              <w:rPr>
                <w:rFonts w:cstheme="minorHAnsi"/>
                <w:sz w:val="18"/>
                <w:szCs w:val="18"/>
              </w:rPr>
              <w:t>Policy SI.2.A.4 of the London Plan requires all developments of 10 or more homes to monitor, verify and report energy performance for at least five years post-construction.</w:t>
            </w:r>
          </w:p>
          <w:p w14:paraId="42D7F0EF" w14:textId="77777777" w:rsidR="009F2080" w:rsidRPr="00B26A0D" w:rsidRDefault="009F2080" w:rsidP="00020B31">
            <w:pPr>
              <w:rPr>
                <w:rFonts w:cstheme="minorHAnsi"/>
                <w:sz w:val="18"/>
                <w:szCs w:val="18"/>
              </w:rPr>
            </w:pPr>
          </w:p>
          <w:p w14:paraId="7142DABC" w14:textId="77777777" w:rsidR="009F2080" w:rsidRPr="00B26A0D" w:rsidRDefault="009F2080" w:rsidP="00020B31">
            <w:pPr>
              <w:rPr>
                <w:rFonts w:cstheme="minorHAnsi"/>
                <w:sz w:val="18"/>
                <w:szCs w:val="18"/>
              </w:rPr>
            </w:pPr>
            <w:r w:rsidRPr="00B26A0D">
              <w:rPr>
                <w:rFonts w:cstheme="minorHAnsi"/>
                <w:sz w:val="18"/>
                <w:szCs w:val="18"/>
              </w:rPr>
              <w:t>Monitoring the actual operational energy performance of buildings and comparing this with early design estimates will enable the industry to work towards bridging the ‘performance gap’ between their design and actual energy use, helping to achieve truly net zero-carbon buildings.</w:t>
            </w:r>
          </w:p>
          <w:p w14:paraId="2CCE5D4D" w14:textId="77777777" w:rsidR="009F2080" w:rsidRPr="00B26A0D" w:rsidRDefault="009F2080" w:rsidP="00020B31">
            <w:pPr>
              <w:rPr>
                <w:rFonts w:cstheme="minorHAnsi"/>
                <w:sz w:val="18"/>
                <w:szCs w:val="18"/>
              </w:rPr>
            </w:pPr>
          </w:p>
          <w:p w14:paraId="03DE2852" w14:textId="77777777" w:rsidR="009F2080" w:rsidRPr="00B26A0D" w:rsidRDefault="009F2080" w:rsidP="00020B31">
            <w:pPr>
              <w:rPr>
                <w:rFonts w:cstheme="minorHAnsi"/>
                <w:sz w:val="18"/>
                <w:szCs w:val="18"/>
              </w:rPr>
            </w:pPr>
            <w:r w:rsidRPr="00B26A0D">
              <w:rPr>
                <w:rFonts w:cstheme="minorHAnsi"/>
                <w:sz w:val="18"/>
                <w:szCs w:val="18"/>
              </w:rPr>
              <w:t>Investment partners are required to submit data to the GLA’s 'Be Seen' monitoring portal for at least five years post construction.</w:t>
            </w:r>
          </w:p>
          <w:p w14:paraId="7CBD80FE" w14:textId="77777777" w:rsidR="009F2080" w:rsidRPr="00B26A0D" w:rsidRDefault="009F2080" w:rsidP="00020B31">
            <w:pPr>
              <w:rPr>
                <w:rFonts w:cstheme="minorHAnsi"/>
                <w:sz w:val="18"/>
                <w:szCs w:val="18"/>
              </w:rPr>
            </w:pPr>
          </w:p>
          <w:p w14:paraId="0D0A7AC0" w14:textId="77777777" w:rsidR="009F2080" w:rsidRPr="00B26A0D" w:rsidRDefault="009F2080" w:rsidP="00020B31">
            <w:pPr>
              <w:rPr>
                <w:rFonts w:cstheme="minorHAnsi"/>
                <w:sz w:val="18"/>
                <w:szCs w:val="18"/>
              </w:rPr>
            </w:pPr>
            <w:r w:rsidRPr="00B26A0D">
              <w:rPr>
                <w:rFonts w:cstheme="minorHAnsi"/>
                <w:sz w:val="18"/>
                <w:szCs w:val="18"/>
              </w:rPr>
              <w:t>Read the GLA 'Be Seen' Energy Monitoring guidance, which explains the ‘Be Seen’ stage of the Energy Hierarchy set out in the London Plan, and includes the 'Be Seen' reporting template which partners are expected to use.</w:t>
            </w:r>
          </w:p>
        </w:tc>
      </w:tr>
      <w:tr w:rsidR="009F2080" w14:paraId="3B898C7E" w14:textId="77777777" w:rsidTr="009A15DF">
        <w:tc>
          <w:tcPr>
            <w:tcW w:w="672" w:type="dxa"/>
          </w:tcPr>
          <w:p w14:paraId="210EFA3E" w14:textId="77777777" w:rsidR="009F2080" w:rsidRPr="00B26A0D" w:rsidRDefault="009F2080" w:rsidP="00020B31">
            <w:pPr>
              <w:rPr>
                <w:rFonts w:cstheme="minorHAnsi"/>
                <w:sz w:val="18"/>
                <w:szCs w:val="18"/>
              </w:rPr>
            </w:pPr>
            <w:r w:rsidRPr="00950487">
              <w:rPr>
                <w:sz w:val="18"/>
                <w:szCs w:val="18"/>
              </w:rPr>
              <w:t>2.1.</w:t>
            </w:r>
            <w:r>
              <w:rPr>
                <w:sz w:val="18"/>
                <w:szCs w:val="18"/>
              </w:rPr>
              <w:t>1</w:t>
            </w:r>
            <w:r w:rsidRPr="00950487">
              <w:rPr>
                <w:sz w:val="18"/>
                <w:szCs w:val="18"/>
              </w:rPr>
              <w:t>3</w:t>
            </w:r>
          </w:p>
        </w:tc>
        <w:tc>
          <w:tcPr>
            <w:tcW w:w="1193" w:type="dxa"/>
          </w:tcPr>
          <w:p w14:paraId="56A2ED12" w14:textId="77777777" w:rsidR="009F2080" w:rsidRPr="00B26A0D" w:rsidRDefault="009F2080" w:rsidP="00020B31">
            <w:pPr>
              <w:rPr>
                <w:rFonts w:cstheme="minorHAnsi"/>
                <w:sz w:val="18"/>
                <w:szCs w:val="18"/>
              </w:rPr>
            </w:pPr>
            <w:r w:rsidRPr="00B26A0D">
              <w:rPr>
                <w:rFonts w:cstheme="minorHAnsi"/>
                <w:sz w:val="18"/>
                <w:szCs w:val="18"/>
              </w:rPr>
              <w:t>Sustainability standard 4</w:t>
            </w:r>
          </w:p>
        </w:tc>
        <w:tc>
          <w:tcPr>
            <w:tcW w:w="1342" w:type="dxa"/>
          </w:tcPr>
          <w:p w14:paraId="436DAF7E" w14:textId="77777777" w:rsidR="009F2080" w:rsidRPr="00B26A0D" w:rsidRDefault="009F2080" w:rsidP="00020B31">
            <w:pPr>
              <w:rPr>
                <w:rFonts w:cstheme="minorHAnsi"/>
                <w:sz w:val="18"/>
                <w:szCs w:val="18"/>
              </w:rPr>
            </w:pPr>
            <w:r w:rsidRPr="00B26A0D">
              <w:rPr>
                <w:rFonts w:cstheme="minorHAnsi"/>
                <w:sz w:val="18"/>
                <w:szCs w:val="18"/>
              </w:rPr>
              <w:t>Air Quality neutral</w:t>
            </w:r>
          </w:p>
        </w:tc>
        <w:tc>
          <w:tcPr>
            <w:tcW w:w="5860" w:type="dxa"/>
          </w:tcPr>
          <w:p w14:paraId="61F25A73" w14:textId="77777777" w:rsidR="009F2080" w:rsidRPr="00B26A0D" w:rsidRDefault="009F2080" w:rsidP="00020B31">
            <w:pPr>
              <w:rPr>
                <w:rFonts w:cstheme="minorHAnsi"/>
                <w:sz w:val="18"/>
                <w:szCs w:val="18"/>
              </w:rPr>
            </w:pPr>
            <w:r w:rsidRPr="00B26A0D">
              <w:rPr>
                <w:rFonts w:cstheme="minorHAnsi"/>
                <w:sz w:val="18"/>
                <w:szCs w:val="18"/>
              </w:rPr>
              <w:t>Policy SI.1.B.2.a of the London Plan requires all developments of 10 or more homes to be at least Air Quality Neutral.</w:t>
            </w:r>
          </w:p>
          <w:p w14:paraId="2984DA46" w14:textId="77777777" w:rsidR="009F2080" w:rsidRPr="00B26A0D" w:rsidRDefault="009F2080" w:rsidP="00020B31">
            <w:pPr>
              <w:rPr>
                <w:rFonts w:cstheme="minorHAnsi"/>
                <w:sz w:val="18"/>
                <w:szCs w:val="18"/>
              </w:rPr>
            </w:pPr>
          </w:p>
          <w:p w14:paraId="68B689DE" w14:textId="77777777" w:rsidR="009F2080" w:rsidRPr="00B26A0D" w:rsidRDefault="009F2080" w:rsidP="00020B31">
            <w:pPr>
              <w:rPr>
                <w:rFonts w:cstheme="minorHAnsi"/>
                <w:sz w:val="18"/>
                <w:szCs w:val="18"/>
              </w:rPr>
            </w:pPr>
            <w:r w:rsidRPr="00B26A0D">
              <w:rPr>
                <w:rFonts w:cstheme="minorHAnsi"/>
                <w:sz w:val="18"/>
                <w:szCs w:val="18"/>
              </w:rPr>
              <w:t xml:space="preserve">An Air Quality Neutral development is one that meets, or improves upon, the air quality neutral benchmarks published in guidance from the GLA. The benchmarks set out the maximum allowable emissions of NOx and Particulate Matter based on the size and use class of the proposed development. </w:t>
            </w:r>
          </w:p>
          <w:p w14:paraId="3DD3ECB4" w14:textId="77777777" w:rsidR="009F2080" w:rsidRPr="00B26A0D" w:rsidRDefault="009F2080" w:rsidP="00020B31">
            <w:pPr>
              <w:rPr>
                <w:rFonts w:cstheme="minorHAnsi"/>
                <w:sz w:val="18"/>
                <w:szCs w:val="18"/>
              </w:rPr>
            </w:pPr>
          </w:p>
          <w:p w14:paraId="062C942E" w14:textId="77777777" w:rsidR="009F2080" w:rsidRPr="00B26A0D" w:rsidRDefault="009F2080" w:rsidP="00020B31">
            <w:pPr>
              <w:rPr>
                <w:rFonts w:cstheme="minorHAnsi"/>
                <w:sz w:val="18"/>
                <w:szCs w:val="18"/>
              </w:rPr>
            </w:pPr>
            <w:r w:rsidRPr="00B26A0D">
              <w:rPr>
                <w:rFonts w:cstheme="minorHAnsi"/>
                <w:sz w:val="18"/>
                <w:szCs w:val="18"/>
              </w:rPr>
              <w:t xml:space="preserve">Investment partners must demonstrate, through an Air Quality Assessment, that developments are at least Air Quality Neutral. This assessment must indicate potential pollutant sources and how these can be mitigated against, to assess the proposed developments impact on air quality. </w:t>
            </w:r>
          </w:p>
          <w:p w14:paraId="773D5391" w14:textId="77777777" w:rsidR="009F2080" w:rsidRPr="00B26A0D" w:rsidRDefault="009F2080" w:rsidP="00020B31">
            <w:pPr>
              <w:rPr>
                <w:rFonts w:cstheme="minorHAnsi"/>
                <w:sz w:val="18"/>
                <w:szCs w:val="18"/>
              </w:rPr>
            </w:pPr>
          </w:p>
          <w:p w14:paraId="06BBDDFC" w14:textId="77777777" w:rsidR="009F2080" w:rsidRPr="00B26A0D" w:rsidRDefault="009F2080" w:rsidP="00020B31">
            <w:pPr>
              <w:rPr>
                <w:rFonts w:cstheme="minorHAnsi"/>
                <w:sz w:val="18"/>
                <w:szCs w:val="18"/>
              </w:rPr>
            </w:pPr>
            <w:r w:rsidRPr="00B26A0D">
              <w:rPr>
                <w:rFonts w:cstheme="minorHAnsi"/>
                <w:sz w:val="18"/>
                <w:szCs w:val="18"/>
              </w:rPr>
              <w:t>A new Air Quality Neutral LPG is due to be published for consultation in the coming months. Until then, please read the Air Quality Neutral Planning Support document, which was commissioned by the GLA, for information on the current Air Quality Neutral benchmarks for buildings and transport.</w:t>
            </w:r>
          </w:p>
          <w:p w14:paraId="703FCD35" w14:textId="77777777" w:rsidR="009F2080" w:rsidRPr="00B26A0D" w:rsidRDefault="009F2080" w:rsidP="00020B31">
            <w:pPr>
              <w:rPr>
                <w:rFonts w:cstheme="minorHAnsi"/>
                <w:sz w:val="18"/>
                <w:szCs w:val="18"/>
              </w:rPr>
            </w:pPr>
          </w:p>
          <w:p w14:paraId="5AB06117" w14:textId="77777777" w:rsidR="009F2080" w:rsidRPr="00B26A0D" w:rsidRDefault="009F2080" w:rsidP="00020B31">
            <w:pPr>
              <w:rPr>
                <w:rFonts w:cstheme="minorHAnsi"/>
                <w:sz w:val="18"/>
                <w:szCs w:val="18"/>
              </w:rPr>
            </w:pPr>
            <w:r w:rsidRPr="00B26A0D">
              <w:rPr>
                <w:rFonts w:cstheme="minorHAnsi"/>
                <w:sz w:val="18"/>
                <w:szCs w:val="18"/>
              </w:rPr>
              <w:lastRenderedPageBreak/>
              <w:t>The GLA does not publish guidance on Air Quality Assessments. However, industry best practice is set out in the Planning for Air Quality guidance provided by the Institute of Air Quality Management. Read the GLA Air Quality Positive guidance, which explains explains how to apply the air quality positive approach to large scale developments.</w:t>
            </w:r>
          </w:p>
        </w:tc>
      </w:tr>
      <w:tr w:rsidR="009F2080" w14:paraId="06CA1562" w14:textId="77777777" w:rsidTr="009A15DF">
        <w:tc>
          <w:tcPr>
            <w:tcW w:w="672" w:type="dxa"/>
          </w:tcPr>
          <w:p w14:paraId="26DF8F26" w14:textId="77777777" w:rsidR="009F2080" w:rsidRPr="00B26A0D" w:rsidRDefault="009F2080" w:rsidP="00020B31">
            <w:pPr>
              <w:rPr>
                <w:rFonts w:cstheme="minorHAnsi"/>
                <w:sz w:val="18"/>
                <w:szCs w:val="18"/>
              </w:rPr>
            </w:pPr>
            <w:r w:rsidRPr="00950487">
              <w:rPr>
                <w:sz w:val="18"/>
                <w:szCs w:val="18"/>
              </w:rPr>
              <w:lastRenderedPageBreak/>
              <w:t>2.1.</w:t>
            </w:r>
            <w:r>
              <w:rPr>
                <w:sz w:val="18"/>
                <w:szCs w:val="18"/>
              </w:rPr>
              <w:t>14</w:t>
            </w:r>
          </w:p>
        </w:tc>
        <w:tc>
          <w:tcPr>
            <w:tcW w:w="1193" w:type="dxa"/>
          </w:tcPr>
          <w:p w14:paraId="69836252" w14:textId="77777777" w:rsidR="009F2080" w:rsidRPr="00B26A0D" w:rsidRDefault="009F2080" w:rsidP="00020B31">
            <w:pPr>
              <w:rPr>
                <w:rFonts w:cstheme="minorHAnsi"/>
                <w:sz w:val="18"/>
                <w:szCs w:val="18"/>
              </w:rPr>
            </w:pPr>
            <w:r w:rsidRPr="00B26A0D">
              <w:rPr>
                <w:rFonts w:cstheme="minorHAnsi"/>
                <w:sz w:val="18"/>
                <w:szCs w:val="18"/>
              </w:rPr>
              <w:t>Sustainability standard 5</w:t>
            </w:r>
          </w:p>
        </w:tc>
        <w:tc>
          <w:tcPr>
            <w:tcW w:w="1342" w:type="dxa"/>
          </w:tcPr>
          <w:p w14:paraId="705FC27F" w14:textId="77777777" w:rsidR="009F2080" w:rsidRPr="00B26A0D" w:rsidRDefault="009F2080" w:rsidP="00020B31">
            <w:pPr>
              <w:rPr>
                <w:rFonts w:cstheme="minorHAnsi"/>
                <w:sz w:val="18"/>
                <w:szCs w:val="18"/>
              </w:rPr>
            </w:pPr>
            <w:r w:rsidRPr="00B26A0D">
              <w:rPr>
                <w:rFonts w:cstheme="minorHAnsi"/>
                <w:sz w:val="18"/>
                <w:szCs w:val="18"/>
              </w:rPr>
              <w:t>Urban Greening</w:t>
            </w:r>
          </w:p>
        </w:tc>
        <w:tc>
          <w:tcPr>
            <w:tcW w:w="5860" w:type="dxa"/>
          </w:tcPr>
          <w:p w14:paraId="24B572C2" w14:textId="77777777" w:rsidR="009F2080" w:rsidRPr="00B26A0D" w:rsidRDefault="009F2080" w:rsidP="00020B31">
            <w:pPr>
              <w:rPr>
                <w:rFonts w:cstheme="minorHAnsi"/>
                <w:sz w:val="18"/>
                <w:szCs w:val="18"/>
              </w:rPr>
            </w:pPr>
            <w:r w:rsidRPr="00B26A0D">
              <w:rPr>
                <w:rFonts w:cstheme="minorHAnsi"/>
                <w:sz w:val="18"/>
                <w:szCs w:val="18"/>
              </w:rPr>
              <w:t>Policy G5.B of the London Plan requires all developments of 10 or more homes to meet relevant borough Urban Greening Factor target scores or, where none exist, the interim score of 0.4 set out in the London Plan.</w:t>
            </w:r>
          </w:p>
          <w:p w14:paraId="60003040" w14:textId="77777777" w:rsidR="009F2080" w:rsidRPr="00B26A0D" w:rsidRDefault="009F2080" w:rsidP="00020B31">
            <w:pPr>
              <w:rPr>
                <w:rFonts w:cstheme="minorHAnsi"/>
                <w:sz w:val="18"/>
                <w:szCs w:val="18"/>
              </w:rPr>
            </w:pPr>
          </w:p>
          <w:p w14:paraId="0247F4CD" w14:textId="77777777" w:rsidR="009F2080" w:rsidRPr="00B26A0D" w:rsidRDefault="009F2080" w:rsidP="00020B31">
            <w:pPr>
              <w:rPr>
                <w:rFonts w:cstheme="minorHAnsi"/>
                <w:sz w:val="18"/>
                <w:szCs w:val="18"/>
              </w:rPr>
            </w:pPr>
            <w:r w:rsidRPr="00B26A0D">
              <w:rPr>
                <w:rFonts w:cstheme="minorHAnsi"/>
                <w:sz w:val="18"/>
                <w:szCs w:val="18"/>
              </w:rPr>
              <w:t>The Urban Greening Factor is a tool which uses a simple calculation to assess the amount and quality of new urban greening provided by a new development. To calculate the Urban Greening Factor, each surface type in the development is given a factor score, which is multiplied by the area of that type of cover. The full method is set out in detail in the new London Plan and Table 8.2 sets out the assigned factors for different types of cover.</w:t>
            </w:r>
          </w:p>
          <w:p w14:paraId="1D86FF04" w14:textId="77777777" w:rsidR="009F2080" w:rsidRPr="00B26A0D" w:rsidRDefault="009F2080" w:rsidP="00020B31">
            <w:pPr>
              <w:rPr>
                <w:rFonts w:cstheme="minorHAnsi"/>
                <w:sz w:val="18"/>
                <w:szCs w:val="18"/>
              </w:rPr>
            </w:pPr>
          </w:p>
          <w:p w14:paraId="5EF20C2D" w14:textId="77777777" w:rsidR="009F2080" w:rsidRPr="00B26A0D" w:rsidRDefault="009F2080" w:rsidP="00020B31">
            <w:pPr>
              <w:rPr>
                <w:rFonts w:cstheme="minorHAnsi"/>
                <w:sz w:val="18"/>
                <w:szCs w:val="18"/>
              </w:rPr>
            </w:pPr>
            <w:r w:rsidRPr="00B26A0D">
              <w:rPr>
                <w:rFonts w:cstheme="minorHAnsi"/>
                <w:sz w:val="18"/>
                <w:szCs w:val="18"/>
              </w:rPr>
              <w:t>Read the GLA Urban Greening Factor guidance, which provides guidance on how to apply the Urban Greening Factor to proposed developments.</w:t>
            </w:r>
          </w:p>
        </w:tc>
      </w:tr>
      <w:tr w:rsidR="009F2080" w14:paraId="655AEAC5" w14:textId="77777777" w:rsidTr="009A15DF">
        <w:tc>
          <w:tcPr>
            <w:tcW w:w="672" w:type="dxa"/>
          </w:tcPr>
          <w:p w14:paraId="11A30DD2" w14:textId="77777777" w:rsidR="009F2080" w:rsidRPr="00B26A0D" w:rsidRDefault="009F2080" w:rsidP="00020B31">
            <w:pPr>
              <w:rPr>
                <w:rFonts w:cstheme="minorHAnsi"/>
                <w:sz w:val="18"/>
                <w:szCs w:val="18"/>
              </w:rPr>
            </w:pPr>
            <w:r w:rsidRPr="00950487">
              <w:rPr>
                <w:sz w:val="18"/>
                <w:szCs w:val="18"/>
              </w:rPr>
              <w:t>2.1.</w:t>
            </w:r>
            <w:r>
              <w:rPr>
                <w:sz w:val="18"/>
                <w:szCs w:val="18"/>
              </w:rPr>
              <w:t>15</w:t>
            </w:r>
          </w:p>
        </w:tc>
        <w:tc>
          <w:tcPr>
            <w:tcW w:w="1193" w:type="dxa"/>
          </w:tcPr>
          <w:p w14:paraId="3755F420" w14:textId="77777777" w:rsidR="009F2080" w:rsidRPr="00B26A0D" w:rsidRDefault="009F2080" w:rsidP="00020B31">
            <w:pPr>
              <w:rPr>
                <w:rFonts w:cstheme="minorHAnsi"/>
                <w:sz w:val="18"/>
                <w:szCs w:val="18"/>
              </w:rPr>
            </w:pPr>
            <w:r w:rsidRPr="00B26A0D">
              <w:rPr>
                <w:rFonts w:cstheme="minorHAnsi"/>
                <w:sz w:val="18"/>
                <w:szCs w:val="18"/>
              </w:rPr>
              <w:t>Sustainability standard 6</w:t>
            </w:r>
          </w:p>
        </w:tc>
        <w:tc>
          <w:tcPr>
            <w:tcW w:w="1342" w:type="dxa"/>
          </w:tcPr>
          <w:p w14:paraId="77834A5C" w14:textId="77777777" w:rsidR="009F2080" w:rsidRPr="00B26A0D" w:rsidRDefault="009F2080" w:rsidP="00020B31">
            <w:pPr>
              <w:rPr>
                <w:rFonts w:cstheme="minorHAnsi"/>
                <w:sz w:val="18"/>
                <w:szCs w:val="18"/>
              </w:rPr>
            </w:pPr>
            <w:r w:rsidRPr="00B26A0D">
              <w:rPr>
                <w:rFonts w:cstheme="minorHAnsi"/>
                <w:sz w:val="18"/>
                <w:szCs w:val="18"/>
              </w:rPr>
              <w:t>Managing heat risk</w:t>
            </w:r>
          </w:p>
        </w:tc>
        <w:tc>
          <w:tcPr>
            <w:tcW w:w="5860" w:type="dxa"/>
          </w:tcPr>
          <w:p w14:paraId="02C8AA5B" w14:textId="77777777" w:rsidR="009F2080" w:rsidRPr="00B26A0D" w:rsidRDefault="009F2080" w:rsidP="00020B31">
            <w:pPr>
              <w:rPr>
                <w:rFonts w:cstheme="minorHAnsi"/>
                <w:sz w:val="18"/>
                <w:szCs w:val="18"/>
              </w:rPr>
            </w:pPr>
            <w:r w:rsidRPr="00B26A0D">
              <w:rPr>
                <w:rFonts w:cstheme="minorHAnsi"/>
                <w:sz w:val="18"/>
                <w:szCs w:val="18"/>
              </w:rPr>
              <w:t>Policy SI.4.B of the London Plan requires all developments of 10 or more homes to demonstrate, through an Energy Strategy, how they will reduce the potential for internal overheating in accordance with the cooling hierarchy.</w:t>
            </w:r>
          </w:p>
          <w:p w14:paraId="673C0D25" w14:textId="77777777" w:rsidR="009F2080" w:rsidRPr="00B26A0D" w:rsidRDefault="009F2080" w:rsidP="00020B31">
            <w:pPr>
              <w:rPr>
                <w:rFonts w:cstheme="minorHAnsi"/>
                <w:sz w:val="18"/>
                <w:szCs w:val="18"/>
              </w:rPr>
            </w:pPr>
          </w:p>
          <w:p w14:paraId="05D1251B" w14:textId="77777777" w:rsidR="009F2080" w:rsidRPr="00B26A0D" w:rsidRDefault="009F2080" w:rsidP="00020B31">
            <w:pPr>
              <w:rPr>
                <w:rFonts w:cstheme="minorHAnsi"/>
                <w:sz w:val="18"/>
                <w:szCs w:val="18"/>
              </w:rPr>
            </w:pPr>
            <w:r w:rsidRPr="00B26A0D">
              <w:rPr>
                <w:rFonts w:cstheme="minorHAnsi"/>
                <w:sz w:val="18"/>
                <w:szCs w:val="18"/>
              </w:rPr>
              <w:t>Overheating mitigation should be considered at the early stages of design development. Investment partners must demonstrate, through an Energy Assessment, the results of dynamic overheating modelling and how they will reduce the potential for internal overheating in accordance with the cooling hierarchy, which is as follows:</w:t>
            </w:r>
          </w:p>
          <w:p w14:paraId="43892D10" w14:textId="77777777" w:rsidR="009F2080" w:rsidRPr="00B26A0D" w:rsidRDefault="009F2080" w:rsidP="00020B31">
            <w:pPr>
              <w:rPr>
                <w:rFonts w:cstheme="minorHAnsi"/>
                <w:sz w:val="18"/>
                <w:szCs w:val="18"/>
              </w:rPr>
            </w:pPr>
          </w:p>
          <w:p w14:paraId="009297C2" w14:textId="77777777" w:rsidR="009F2080" w:rsidRPr="00B26A0D" w:rsidRDefault="009F2080" w:rsidP="009F2080">
            <w:pPr>
              <w:pStyle w:val="ListParagraph"/>
              <w:numPr>
                <w:ilvl w:val="0"/>
                <w:numId w:val="2"/>
              </w:numPr>
              <w:rPr>
                <w:rFonts w:cstheme="minorHAnsi"/>
                <w:sz w:val="18"/>
                <w:szCs w:val="18"/>
              </w:rPr>
            </w:pPr>
            <w:r w:rsidRPr="00B26A0D">
              <w:rPr>
                <w:rFonts w:cstheme="minorHAnsi"/>
                <w:sz w:val="18"/>
                <w:szCs w:val="18"/>
              </w:rPr>
              <w:t xml:space="preserve">Reduce the amount of heat entering a building through orientation, shading, high albedo materials, fenestration, insulation and the provision of green infrastructure </w:t>
            </w:r>
          </w:p>
          <w:p w14:paraId="12D491E5" w14:textId="77777777" w:rsidR="009F2080" w:rsidRPr="00B26A0D" w:rsidRDefault="009F2080" w:rsidP="009F2080">
            <w:pPr>
              <w:pStyle w:val="ListParagraph"/>
              <w:numPr>
                <w:ilvl w:val="0"/>
                <w:numId w:val="2"/>
              </w:numPr>
              <w:rPr>
                <w:rFonts w:cstheme="minorHAnsi"/>
                <w:sz w:val="18"/>
                <w:szCs w:val="18"/>
              </w:rPr>
            </w:pPr>
            <w:r w:rsidRPr="00B26A0D">
              <w:rPr>
                <w:rFonts w:cstheme="minorHAnsi"/>
                <w:sz w:val="18"/>
                <w:szCs w:val="18"/>
              </w:rPr>
              <w:t xml:space="preserve">Minimise internal heat generation through energy efficient design </w:t>
            </w:r>
          </w:p>
          <w:p w14:paraId="7FEDBC4E" w14:textId="77777777" w:rsidR="009F2080" w:rsidRPr="00B26A0D" w:rsidRDefault="009F2080" w:rsidP="009F2080">
            <w:pPr>
              <w:pStyle w:val="ListParagraph"/>
              <w:numPr>
                <w:ilvl w:val="0"/>
                <w:numId w:val="2"/>
              </w:numPr>
              <w:rPr>
                <w:rFonts w:cstheme="minorHAnsi"/>
                <w:sz w:val="18"/>
                <w:szCs w:val="18"/>
              </w:rPr>
            </w:pPr>
            <w:r w:rsidRPr="00B26A0D">
              <w:rPr>
                <w:rFonts w:cstheme="minorHAnsi"/>
                <w:sz w:val="18"/>
                <w:szCs w:val="18"/>
              </w:rPr>
              <w:t xml:space="preserve">Manage the heat within the building through exposed internal thermal mass and high ceilings </w:t>
            </w:r>
          </w:p>
          <w:p w14:paraId="5E5DF7EE" w14:textId="77777777" w:rsidR="009F2080" w:rsidRPr="00B26A0D" w:rsidRDefault="009F2080" w:rsidP="009F2080">
            <w:pPr>
              <w:pStyle w:val="ListParagraph"/>
              <w:numPr>
                <w:ilvl w:val="0"/>
                <w:numId w:val="2"/>
              </w:numPr>
              <w:rPr>
                <w:rFonts w:cstheme="minorHAnsi"/>
                <w:sz w:val="18"/>
                <w:szCs w:val="18"/>
              </w:rPr>
            </w:pPr>
            <w:r w:rsidRPr="00B26A0D">
              <w:rPr>
                <w:rFonts w:cstheme="minorHAnsi"/>
                <w:sz w:val="18"/>
                <w:szCs w:val="18"/>
              </w:rPr>
              <w:t xml:space="preserve">Provide passive ventilation </w:t>
            </w:r>
          </w:p>
          <w:p w14:paraId="55FD43CB" w14:textId="77777777" w:rsidR="009F2080" w:rsidRPr="00B26A0D" w:rsidRDefault="009F2080" w:rsidP="009F2080">
            <w:pPr>
              <w:pStyle w:val="ListParagraph"/>
              <w:numPr>
                <w:ilvl w:val="0"/>
                <w:numId w:val="2"/>
              </w:numPr>
              <w:rPr>
                <w:rFonts w:cstheme="minorHAnsi"/>
                <w:sz w:val="18"/>
                <w:szCs w:val="18"/>
              </w:rPr>
            </w:pPr>
            <w:r w:rsidRPr="00B26A0D">
              <w:rPr>
                <w:rFonts w:cstheme="minorHAnsi"/>
                <w:sz w:val="18"/>
                <w:szCs w:val="18"/>
              </w:rPr>
              <w:t xml:space="preserve">Provide mechanical ventilation </w:t>
            </w:r>
          </w:p>
          <w:p w14:paraId="701EB6E2" w14:textId="77777777" w:rsidR="009F2080" w:rsidRPr="00B26A0D" w:rsidRDefault="009F2080" w:rsidP="009F2080">
            <w:pPr>
              <w:pStyle w:val="ListParagraph"/>
              <w:numPr>
                <w:ilvl w:val="0"/>
                <w:numId w:val="2"/>
              </w:numPr>
              <w:rPr>
                <w:rFonts w:cstheme="minorHAnsi"/>
                <w:sz w:val="18"/>
                <w:szCs w:val="18"/>
              </w:rPr>
            </w:pPr>
            <w:r w:rsidRPr="00B26A0D">
              <w:rPr>
                <w:rFonts w:cstheme="minorHAnsi"/>
                <w:sz w:val="18"/>
                <w:szCs w:val="18"/>
              </w:rPr>
              <w:t>Provide active cooling systems</w:t>
            </w:r>
          </w:p>
        </w:tc>
      </w:tr>
    </w:tbl>
    <w:p w14:paraId="4ECA26CD" w14:textId="6755E39C" w:rsidR="009A15DF" w:rsidRDefault="009A15DF" w:rsidP="009A15DF">
      <w:r>
        <w:t>Table 2</w:t>
      </w:r>
      <w:r>
        <w:t>.1</w:t>
      </w:r>
    </w:p>
    <w:p w14:paraId="6BED6C58" w14:textId="77777777" w:rsidR="009F2080" w:rsidRDefault="009F2080" w:rsidP="009F2080"/>
    <w:p w14:paraId="0E625193" w14:textId="77777777" w:rsidR="009F2080" w:rsidRDefault="009F2080" w:rsidP="009F2080"/>
    <w:p w14:paraId="6CE03391" w14:textId="77777777" w:rsidR="009F2080" w:rsidRDefault="009F2080" w:rsidP="009F2080"/>
    <w:p w14:paraId="7027203C" w14:textId="77777777" w:rsidR="009F2080" w:rsidRDefault="009F2080" w:rsidP="009F2080"/>
    <w:p w14:paraId="280C80A1" w14:textId="77777777" w:rsidR="009F2080" w:rsidRDefault="009F2080" w:rsidP="009F2080">
      <w:pPr>
        <w:pStyle w:val="Heading3"/>
      </w:pPr>
      <w:r>
        <w:t xml:space="preserve">2.2 </w:t>
      </w:r>
      <w:r w:rsidRPr="00F57805">
        <w:t>Equalities, Diversity and Inclusion Measures</w:t>
      </w:r>
    </w:p>
    <w:tbl>
      <w:tblPr>
        <w:tblStyle w:val="TableGrid"/>
        <w:tblW w:w="0" w:type="auto"/>
        <w:tblLook w:val="04A0" w:firstRow="1" w:lastRow="0" w:firstColumn="1" w:lastColumn="0" w:noHBand="0" w:noVBand="1"/>
      </w:tblPr>
      <w:tblGrid>
        <w:gridCol w:w="581"/>
        <w:gridCol w:w="2108"/>
        <w:gridCol w:w="3883"/>
        <w:gridCol w:w="2444"/>
      </w:tblGrid>
      <w:tr w:rsidR="009F2080" w14:paraId="468F1759" w14:textId="77777777" w:rsidTr="00020B31">
        <w:tc>
          <w:tcPr>
            <w:tcW w:w="581" w:type="dxa"/>
            <w:shd w:val="clear" w:color="auto" w:fill="4472C4" w:themeFill="accent1"/>
          </w:tcPr>
          <w:p w14:paraId="02AF6A72" w14:textId="77777777" w:rsidR="009F2080" w:rsidRDefault="009F2080" w:rsidP="00020B31">
            <w:pPr>
              <w:rPr>
                <w:b/>
                <w:bCs/>
              </w:rPr>
            </w:pPr>
          </w:p>
        </w:tc>
        <w:tc>
          <w:tcPr>
            <w:tcW w:w="2108" w:type="dxa"/>
            <w:shd w:val="clear" w:color="auto" w:fill="4472C4" w:themeFill="accent1"/>
          </w:tcPr>
          <w:p w14:paraId="1E93559B" w14:textId="77777777" w:rsidR="009F2080" w:rsidRPr="0028764B" w:rsidRDefault="009F2080" w:rsidP="00020B31">
            <w:pPr>
              <w:rPr>
                <w:b/>
                <w:bCs/>
              </w:rPr>
            </w:pPr>
            <w:r>
              <w:rPr>
                <w:b/>
                <w:bCs/>
              </w:rPr>
              <w:t>T</w:t>
            </w:r>
            <w:r w:rsidRPr="0028764B">
              <w:rPr>
                <w:b/>
                <w:bCs/>
              </w:rPr>
              <w:t>heme</w:t>
            </w:r>
          </w:p>
        </w:tc>
        <w:tc>
          <w:tcPr>
            <w:tcW w:w="3883" w:type="dxa"/>
            <w:shd w:val="clear" w:color="auto" w:fill="4472C4" w:themeFill="accent1"/>
          </w:tcPr>
          <w:p w14:paraId="1547EC03" w14:textId="77777777" w:rsidR="009F2080" w:rsidRPr="0028764B" w:rsidRDefault="009F2080" w:rsidP="00020B31">
            <w:pPr>
              <w:rPr>
                <w:b/>
                <w:bCs/>
              </w:rPr>
            </w:pPr>
            <w:r>
              <w:rPr>
                <w:b/>
                <w:bCs/>
              </w:rPr>
              <w:t>M</w:t>
            </w:r>
            <w:r w:rsidRPr="0028764B">
              <w:rPr>
                <w:b/>
                <w:bCs/>
              </w:rPr>
              <w:t>easure</w:t>
            </w:r>
          </w:p>
        </w:tc>
        <w:tc>
          <w:tcPr>
            <w:tcW w:w="2444" w:type="dxa"/>
            <w:shd w:val="clear" w:color="auto" w:fill="4472C4" w:themeFill="accent1"/>
          </w:tcPr>
          <w:p w14:paraId="0335EB43" w14:textId="77777777" w:rsidR="009F2080" w:rsidRPr="0028764B" w:rsidRDefault="009F2080" w:rsidP="00020B31">
            <w:pPr>
              <w:rPr>
                <w:b/>
                <w:bCs/>
              </w:rPr>
            </w:pPr>
            <w:r w:rsidRPr="0028764B">
              <w:rPr>
                <w:b/>
                <w:bCs/>
              </w:rPr>
              <w:t>Inequality measured</w:t>
            </w:r>
          </w:p>
        </w:tc>
      </w:tr>
      <w:tr w:rsidR="009F2080" w14:paraId="2DB2A277" w14:textId="77777777" w:rsidTr="00020B31">
        <w:tc>
          <w:tcPr>
            <w:tcW w:w="581" w:type="dxa"/>
          </w:tcPr>
          <w:p w14:paraId="7A7F790A" w14:textId="77777777" w:rsidR="009F2080" w:rsidRPr="0039092B" w:rsidRDefault="009F2080" w:rsidP="00020B31">
            <w:pPr>
              <w:rPr>
                <w:sz w:val="18"/>
                <w:szCs w:val="18"/>
              </w:rPr>
            </w:pPr>
            <w:r>
              <w:rPr>
                <w:sz w:val="18"/>
                <w:szCs w:val="18"/>
              </w:rPr>
              <w:t>2.2.1</w:t>
            </w:r>
          </w:p>
        </w:tc>
        <w:tc>
          <w:tcPr>
            <w:tcW w:w="2108" w:type="dxa"/>
          </w:tcPr>
          <w:p w14:paraId="07535EF6" w14:textId="77777777" w:rsidR="009F2080" w:rsidRPr="0039092B" w:rsidRDefault="009F2080" w:rsidP="00020B31">
            <w:pPr>
              <w:rPr>
                <w:sz w:val="18"/>
                <w:szCs w:val="18"/>
              </w:rPr>
            </w:pPr>
            <w:r w:rsidRPr="0039092B">
              <w:rPr>
                <w:sz w:val="18"/>
                <w:szCs w:val="18"/>
              </w:rPr>
              <w:t>Housing affordability</w:t>
            </w:r>
          </w:p>
        </w:tc>
        <w:tc>
          <w:tcPr>
            <w:tcW w:w="3883" w:type="dxa"/>
          </w:tcPr>
          <w:p w14:paraId="246EAD41" w14:textId="77777777" w:rsidR="009F2080" w:rsidRPr="0039092B" w:rsidRDefault="009F2080" w:rsidP="00020B31">
            <w:pPr>
              <w:rPr>
                <w:sz w:val="18"/>
                <w:szCs w:val="18"/>
              </w:rPr>
            </w:pPr>
            <w:r w:rsidRPr="0039092B">
              <w:rPr>
                <w:sz w:val="18"/>
                <w:szCs w:val="18"/>
              </w:rPr>
              <w:t>Proportion of people in households spending more than a third of their income on housing</w:t>
            </w:r>
          </w:p>
        </w:tc>
        <w:tc>
          <w:tcPr>
            <w:tcW w:w="2444" w:type="dxa"/>
          </w:tcPr>
          <w:p w14:paraId="44F95EB2" w14:textId="77777777" w:rsidR="009F2080" w:rsidRPr="0039092B" w:rsidRDefault="009F2080" w:rsidP="00020B31">
            <w:pPr>
              <w:rPr>
                <w:sz w:val="18"/>
                <w:szCs w:val="18"/>
              </w:rPr>
            </w:pPr>
            <w:r w:rsidRPr="0039092B">
              <w:rPr>
                <w:sz w:val="18"/>
                <w:szCs w:val="18"/>
              </w:rPr>
              <w:t>Ethnicity, income quintile, tenure</w:t>
            </w:r>
          </w:p>
        </w:tc>
      </w:tr>
      <w:tr w:rsidR="009F2080" w14:paraId="7D9B5EF7" w14:textId="77777777" w:rsidTr="00020B31">
        <w:tc>
          <w:tcPr>
            <w:tcW w:w="581" w:type="dxa"/>
          </w:tcPr>
          <w:p w14:paraId="390F73DE" w14:textId="77777777" w:rsidR="009F2080" w:rsidRPr="0039092B" w:rsidRDefault="009F2080" w:rsidP="00020B31">
            <w:pPr>
              <w:rPr>
                <w:sz w:val="18"/>
                <w:szCs w:val="18"/>
              </w:rPr>
            </w:pPr>
            <w:r w:rsidRPr="00B32291">
              <w:rPr>
                <w:sz w:val="18"/>
                <w:szCs w:val="18"/>
              </w:rPr>
              <w:t>2.2.</w:t>
            </w:r>
            <w:r>
              <w:rPr>
                <w:sz w:val="18"/>
                <w:szCs w:val="18"/>
              </w:rPr>
              <w:t>2</w:t>
            </w:r>
          </w:p>
        </w:tc>
        <w:tc>
          <w:tcPr>
            <w:tcW w:w="2108" w:type="dxa"/>
          </w:tcPr>
          <w:p w14:paraId="20DCCDD0" w14:textId="77777777" w:rsidR="009F2080" w:rsidRPr="0039092B" w:rsidRDefault="009F2080" w:rsidP="00020B31">
            <w:pPr>
              <w:rPr>
                <w:sz w:val="18"/>
                <w:szCs w:val="18"/>
              </w:rPr>
            </w:pPr>
            <w:r w:rsidRPr="0039092B">
              <w:rPr>
                <w:sz w:val="18"/>
                <w:szCs w:val="18"/>
              </w:rPr>
              <w:t>Overcrowding</w:t>
            </w:r>
          </w:p>
        </w:tc>
        <w:tc>
          <w:tcPr>
            <w:tcW w:w="3883" w:type="dxa"/>
          </w:tcPr>
          <w:p w14:paraId="51D066F3" w14:textId="77777777" w:rsidR="009F2080" w:rsidRPr="0039092B" w:rsidRDefault="009F2080" w:rsidP="00020B31">
            <w:pPr>
              <w:rPr>
                <w:sz w:val="18"/>
                <w:szCs w:val="18"/>
              </w:rPr>
            </w:pPr>
            <w:r w:rsidRPr="0039092B">
              <w:rPr>
                <w:sz w:val="18"/>
                <w:szCs w:val="18"/>
              </w:rPr>
              <w:t>Proportion of households that are overcrowded</w:t>
            </w:r>
            <w:r w:rsidRPr="0039092B">
              <w:rPr>
                <w:sz w:val="18"/>
                <w:szCs w:val="18"/>
              </w:rPr>
              <w:tab/>
            </w:r>
          </w:p>
        </w:tc>
        <w:tc>
          <w:tcPr>
            <w:tcW w:w="2444" w:type="dxa"/>
          </w:tcPr>
          <w:p w14:paraId="430A4F92" w14:textId="77777777" w:rsidR="009F2080" w:rsidRPr="0039092B" w:rsidRDefault="009F2080" w:rsidP="00020B31">
            <w:pPr>
              <w:rPr>
                <w:sz w:val="18"/>
                <w:szCs w:val="18"/>
              </w:rPr>
            </w:pPr>
            <w:r w:rsidRPr="0039092B">
              <w:rPr>
                <w:sz w:val="18"/>
                <w:szCs w:val="18"/>
              </w:rPr>
              <w:t>Age, ethnicity, tenure, household type</w:t>
            </w:r>
          </w:p>
        </w:tc>
      </w:tr>
      <w:tr w:rsidR="009F2080" w14:paraId="56AE3820" w14:textId="77777777" w:rsidTr="00020B31">
        <w:tc>
          <w:tcPr>
            <w:tcW w:w="581" w:type="dxa"/>
          </w:tcPr>
          <w:p w14:paraId="4C971C25" w14:textId="77777777" w:rsidR="009F2080" w:rsidRPr="0039092B" w:rsidRDefault="009F2080" w:rsidP="00020B31">
            <w:pPr>
              <w:rPr>
                <w:sz w:val="18"/>
                <w:szCs w:val="18"/>
              </w:rPr>
            </w:pPr>
            <w:r w:rsidRPr="00B32291">
              <w:rPr>
                <w:sz w:val="18"/>
                <w:szCs w:val="18"/>
              </w:rPr>
              <w:t>2.2.</w:t>
            </w:r>
            <w:r>
              <w:rPr>
                <w:sz w:val="18"/>
                <w:szCs w:val="18"/>
              </w:rPr>
              <w:t>3</w:t>
            </w:r>
          </w:p>
        </w:tc>
        <w:tc>
          <w:tcPr>
            <w:tcW w:w="2108" w:type="dxa"/>
          </w:tcPr>
          <w:p w14:paraId="5C1F9F5E" w14:textId="77777777" w:rsidR="009F2080" w:rsidRPr="0039092B" w:rsidRDefault="009F2080" w:rsidP="00020B31">
            <w:pPr>
              <w:rPr>
                <w:sz w:val="18"/>
                <w:szCs w:val="18"/>
              </w:rPr>
            </w:pPr>
            <w:r w:rsidRPr="0039092B">
              <w:rPr>
                <w:sz w:val="18"/>
                <w:szCs w:val="18"/>
              </w:rPr>
              <w:t>Accessible housing</w:t>
            </w:r>
          </w:p>
        </w:tc>
        <w:tc>
          <w:tcPr>
            <w:tcW w:w="3883" w:type="dxa"/>
          </w:tcPr>
          <w:p w14:paraId="4431B084" w14:textId="77777777" w:rsidR="009F2080" w:rsidRPr="0039092B" w:rsidRDefault="009F2080" w:rsidP="00020B31">
            <w:pPr>
              <w:rPr>
                <w:sz w:val="18"/>
                <w:szCs w:val="18"/>
              </w:rPr>
            </w:pPr>
            <w:r w:rsidRPr="0039092B">
              <w:rPr>
                <w:sz w:val="18"/>
                <w:szCs w:val="18"/>
              </w:rPr>
              <w:t>New Build Homes Meeting Accessible Housing Standard M4(3) Approved</w:t>
            </w:r>
            <w:r w:rsidRPr="0039092B">
              <w:rPr>
                <w:sz w:val="18"/>
                <w:szCs w:val="18"/>
              </w:rPr>
              <w:tab/>
            </w:r>
          </w:p>
        </w:tc>
        <w:tc>
          <w:tcPr>
            <w:tcW w:w="2444" w:type="dxa"/>
          </w:tcPr>
          <w:p w14:paraId="414D89DA" w14:textId="77777777" w:rsidR="009F2080" w:rsidRPr="0039092B" w:rsidRDefault="009F2080" w:rsidP="00020B31">
            <w:pPr>
              <w:rPr>
                <w:sz w:val="18"/>
                <w:szCs w:val="18"/>
              </w:rPr>
            </w:pPr>
            <w:r w:rsidRPr="0039092B">
              <w:rPr>
                <w:sz w:val="18"/>
                <w:szCs w:val="18"/>
              </w:rPr>
              <w:t>Borough</w:t>
            </w:r>
          </w:p>
        </w:tc>
      </w:tr>
      <w:tr w:rsidR="009F2080" w14:paraId="7B47787A" w14:textId="77777777" w:rsidTr="00020B31">
        <w:tc>
          <w:tcPr>
            <w:tcW w:w="581" w:type="dxa"/>
          </w:tcPr>
          <w:p w14:paraId="74AC0BD9" w14:textId="77777777" w:rsidR="009F2080" w:rsidRPr="0039092B" w:rsidRDefault="009F2080" w:rsidP="00020B31">
            <w:pPr>
              <w:rPr>
                <w:sz w:val="18"/>
                <w:szCs w:val="18"/>
              </w:rPr>
            </w:pPr>
            <w:r w:rsidRPr="00B32291">
              <w:rPr>
                <w:sz w:val="18"/>
                <w:szCs w:val="18"/>
              </w:rPr>
              <w:t>2.2.</w:t>
            </w:r>
            <w:r>
              <w:rPr>
                <w:sz w:val="18"/>
                <w:szCs w:val="18"/>
              </w:rPr>
              <w:t>4</w:t>
            </w:r>
          </w:p>
        </w:tc>
        <w:tc>
          <w:tcPr>
            <w:tcW w:w="2108" w:type="dxa"/>
          </w:tcPr>
          <w:p w14:paraId="074F7713" w14:textId="77777777" w:rsidR="009F2080" w:rsidRPr="0039092B" w:rsidRDefault="009F2080" w:rsidP="00020B31">
            <w:pPr>
              <w:rPr>
                <w:sz w:val="18"/>
                <w:szCs w:val="18"/>
              </w:rPr>
            </w:pPr>
            <w:r w:rsidRPr="0039092B">
              <w:rPr>
                <w:sz w:val="18"/>
                <w:szCs w:val="18"/>
              </w:rPr>
              <w:t>Air quality</w:t>
            </w:r>
          </w:p>
        </w:tc>
        <w:tc>
          <w:tcPr>
            <w:tcW w:w="3883" w:type="dxa"/>
          </w:tcPr>
          <w:p w14:paraId="0E97D578" w14:textId="77777777" w:rsidR="009F2080" w:rsidRPr="0039092B" w:rsidRDefault="009F2080" w:rsidP="00020B31">
            <w:pPr>
              <w:rPr>
                <w:sz w:val="18"/>
                <w:szCs w:val="18"/>
              </w:rPr>
            </w:pPr>
            <w:r w:rsidRPr="0039092B">
              <w:rPr>
                <w:sz w:val="18"/>
                <w:szCs w:val="18"/>
              </w:rPr>
              <w:t>Proportion of population living in the 30% most polluted (NO2) LSOAs</w:t>
            </w:r>
            <w:r w:rsidRPr="0039092B">
              <w:rPr>
                <w:sz w:val="18"/>
                <w:szCs w:val="18"/>
              </w:rPr>
              <w:tab/>
            </w:r>
            <w:r w:rsidRPr="0039092B">
              <w:rPr>
                <w:sz w:val="18"/>
                <w:szCs w:val="18"/>
              </w:rPr>
              <w:tab/>
            </w:r>
          </w:p>
        </w:tc>
        <w:tc>
          <w:tcPr>
            <w:tcW w:w="2444" w:type="dxa"/>
          </w:tcPr>
          <w:p w14:paraId="71E50D98" w14:textId="77777777" w:rsidR="009F2080" w:rsidRPr="0039092B" w:rsidRDefault="009F2080" w:rsidP="00020B31">
            <w:pPr>
              <w:rPr>
                <w:sz w:val="18"/>
                <w:szCs w:val="18"/>
              </w:rPr>
            </w:pPr>
            <w:r w:rsidRPr="0039092B">
              <w:rPr>
                <w:sz w:val="18"/>
                <w:szCs w:val="18"/>
              </w:rPr>
              <w:t>Ethnicity, deprivation, age</w:t>
            </w:r>
          </w:p>
        </w:tc>
      </w:tr>
      <w:tr w:rsidR="009F2080" w14:paraId="3421065F" w14:textId="77777777" w:rsidTr="00020B31">
        <w:tc>
          <w:tcPr>
            <w:tcW w:w="581" w:type="dxa"/>
          </w:tcPr>
          <w:p w14:paraId="7FE5CEB0" w14:textId="77777777" w:rsidR="009F2080" w:rsidRPr="0039092B" w:rsidRDefault="009F2080" w:rsidP="00020B31">
            <w:pPr>
              <w:rPr>
                <w:sz w:val="18"/>
                <w:szCs w:val="18"/>
              </w:rPr>
            </w:pPr>
            <w:r w:rsidRPr="00B32291">
              <w:rPr>
                <w:sz w:val="18"/>
                <w:szCs w:val="18"/>
              </w:rPr>
              <w:t>2.2.</w:t>
            </w:r>
            <w:r>
              <w:rPr>
                <w:sz w:val="18"/>
                <w:szCs w:val="18"/>
              </w:rPr>
              <w:t>5</w:t>
            </w:r>
          </w:p>
        </w:tc>
        <w:tc>
          <w:tcPr>
            <w:tcW w:w="2108" w:type="dxa"/>
          </w:tcPr>
          <w:p w14:paraId="2E372535" w14:textId="77777777" w:rsidR="009F2080" w:rsidRPr="0039092B" w:rsidRDefault="009F2080" w:rsidP="00020B31">
            <w:pPr>
              <w:rPr>
                <w:sz w:val="18"/>
                <w:szCs w:val="18"/>
              </w:rPr>
            </w:pPr>
            <w:r w:rsidRPr="0039092B">
              <w:rPr>
                <w:sz w:val="18"/>
                <w:szCs w:val="18"/>
              </w:rPr>
              <w:t>Homelessness</w:t>
            </w:r>
          </w:p>
        </w:tc>
        <w:tc>
          <w:tcPr>
            <w:tcW w:w="3883" w:type="dxa"/>
          </w:tcPr>
          <w:p w14:paraId="149B320E" w14:textId="77777777" w:rsidR="009F2080" w:rsidRPr="0039092B" w:rsidRDefault="009F2080" w:rsidP="00020B31">
            <w:pPr>
              <w:rPr>
                <w:sz w:val="18"/>
                <w:szCs w:val="18"/>
              </w:rPr>
            </w:pPr>
            <w:r w:rsidRPr="0039092B">
              <w:rPr>
                <w:sz w:val="18"/>
                <w:szCs w:val="18"/>
              </w:rPr>
              <w:t>Number of households accepted as statutorily homeless in London</w:t>
            </w:r>
            <w:r w:rsidRPr="0039092B">
              <w:rPr>
                <w:sz w:val="18"/>
                <w:szCs w:val="18"/>
              </w:rPr>
              <w:tab/>
            </w:r>
          </w:p>
        </w:tc>
        <w:tc>
          <w:tcPr>
            <w:tcW w:w="2444" w:type="dxa"/>
          </w:tcPr>
          <w:p w14:paraId="20DC07B9" w14:textId="77777777" w:rsidR="009F2080" w:rsidRPr="0039092B" w:rsidRDefault="009F2080" w:rsidP="00020B31">
            <w:pPr>
              <w:rPr>
                <w:sz w:val="18"/>
                <w:szCs w:val="18"/>
              </w:rPr>
            </w:pPr>
            <w:r w:rsidRPr="0039092B">
              <w:rPr>
                <w:sz w:val="18"/>
                <w:szCs w:val="18"/>
              </w:rPr>
              <w:t>Ethnicity, family type, age</w:t>
            </w:r>
          </w:p>
        </w:tc>
      </w:tr>
      <w:tr w:rsidR="009F2080" w14:paraId="7A496991" w14:textId="77777777" w:rsidTr="00020B31">
        <w:tc>
          <w:tcPr>
            <w:tcW w:w="581" w:type="dxa"/>
          </w:tcPr>
          <w:p w14:paraId="71FE2CE5" w14:textId="77777777" w:rsidR="009F2080" w:rsidRPr="0039092B" w:rsidRDefault="009F2080" w:rsidP="00020B31">
            <w:pPr>
              <w:rPr>
                <w:sz w:val="18"/>
                <w:szCs w:val="18"/>
              </w:rPr>
            </w:pPr>
            <w:r w:rsidRPr="00B32291">
              <w:rPr>
                <w:sz w:val="18"/>
                <w:szCs w:val="18"/>
              </w:rPr>
              <w:t>2.2.</w:t>
            </w:r>
            <w:r>
              <w:rPr>
                <w:sz w:val="18"/>
                <w:szCs w:val="18"/>
              </w:rPr>
              <w:t>6</w:t>
            </w:r>
          </w:p>
        </w:tc>
        <w:tc>
          <w:tcPr>
            <w:tcW w:w="2108" w:type="dxa"/>
          </w:tcPr>
          <w:p w14:paraId="3F0D4AD9" w14:textId="77777777" w:rsidR="009F2080" w:rsidRPr="0039092B" w:rsidRDefault="009F2080" w:rsidP="00020B31">
            <w:pPr>
              <w:rPr>
                <w:sz w:val="18"/>
                <w:szCs w:val="18"/>
              </w:rPr>
            </w:pPr>
            <w:r w:rsidRPr="0039092B">
              <w:rPr>
                <w:sz w:val="18"/>
                <w:szCs w:val="18"/>
              </w:rPr>
              <w:t>Rough sleeping</w:t>
            </w:r>
          </w:p>
        </w:tc>
        <w:tc>
          <w:tcPr>
            <w:tcW w:w="3883" w:type="dxa"/>
          </w:tcPr>
          <w:p w14:paraId="7BFD31D5" w14:textId="77777777" w:rsidR="009F2080" w:rsidRPr="0039092B" w:rsidRDefault="009F2080" w:rsidP="00020B31">
            <w:pPr>
              <w:rPr>
                <w:sz w:val="18"/>
                <w:szCs w:val="18"/>
              </w:rPr>
            </w:pPr>
            <w:r w:rsidRPr="0039092B">
              <w:rPr>
                <w:sz w:val="18"/>
                <w:szCs w:val="18"/>
              </w:rPr>
              <w:t>Number of persons seen rough sleeping in London</w:t>
            </w:r>
            <w:r w:rsidRPr="0039092B">
              <w:rPr>
                <w:sz w:val="18"/>
                <w:szCs w:val="18"/>
              </w:rPr>
              <w:tab/>
            </w:r>
            <w:r w:rsidRPr="0039092B">
              <w:rPr>
                <w:sz w:val="18"/>
                <w:szCs w:val="18"/>
              </w:rPr>
              <w:tab/>
            </w:r>
          </w:p>
        </w:tc>
        <w:tc>
          <w:tcPr>
            <w:tcW w:w="2444" w:type="dxa"/>
          </w:tcPr>
          <w:p w14:paraId="3B6DB1C3" w14:textId="77777777" w:rsidR="009F2080" w:rsidRPr="0039092B" w:rsidRDefault="009F2080" w:rsidP="00020B31">
            <w:pPr>
              <w:rPr>
                <w:sz w:val="18"/>
                <w:szCs w:val="18"/>
              </w:rPr>
            </w:pPr>
            <w:r w:rsidRPr="0039092B">
              <w:rPr>
                <w:sz w:val="18"/>
                <w:szCs w:val="18"/>
              </w:rPr>
              <w:t>Ethnicity, age, nationality</w:t>
            </w:r>
          </w:p>
        </w:tc>
      </w:tr>
      <w:tr w:rsidR="009F2080" w14:paraId="756ADB09" w14:textId="77777777" w:rsidTr="00020B31">
        <w:tc>
          <w:tcPr>
            <w:tcW w:w="581" w:type="dxa"/>
          </w:tcPr>
          <w:p w14:paraId="6D63D6CF" w14:textId="77777777" w:rsidR="009F2080" w:rsidRPr="0039092B" w:rsidRDefault="009F2080" w:rsidP="00020B31">
            <w:pPr>
              <w:rPr>
                <w:sz w:val="18"/>
                <w:szCs w:val="18"/>
              </w:rPr>
            </w:pPr>
            <w:r w:rsidRPr="00B32291">
              <w:rPr>
                <w:sz w:val="18"/>
                <w:szCs w:val="18"/>
              </w:rPr>
              <w:lastRenderedPageBreak/>
              <w:t>2.2.</w:t>
            </w:r>
            <w:r>
              <w:rPr>
                <w:sz w:val="18"/>
                <w:szCs w:val="18"/>
              </w:rPr>
              <w:t>7</w:t>
            </w:r>
          </w:p>
        </w:tc>
        <w:tc>
          <w:tcPr>
            <w:tcW w:w="2108" w:type="dxa"/>
          </w:tcPr>
          <w:p w14:paraId="2A34BC36" w14:textId="77777777" w:rsidR="009F2080" w:rsidRPr="0039092B" w:rsidRDefault="009F2080" w:rsidP="00020B31">
            <w:pPr>
              <w:rPr>
                <w:sz w:val="18"/>
                <w:szCs w:val="18"/>
              </w:rPr>
            </w:pPr>
            <w:r w:rsidRPr="0039092B">
              <w:rPr>
                <w:sz w:val="18"/>
                <w:szCs w:val="18"/>
              </w:rPr>
              <w:t>Tenure satisfaction</w:t>
            </w:r>
          </w:p>
        </w:tc>
        <w:tc>
          <w:tcPr>
            <w:tcW w:w="3883" w:type="dxa"/>
          </w:tcPr>
          <w:p w14:paraId="44252495" w14:textId="77777777" w:rsidR="009F2080" w:rsidRPr="0039092B" w:rsidRDefault="009F2080" w:rsidP="00020B31">
            <w:pPr>
              <w:rPr>
                <w:sz w:val="18"/>
                <w:szCs w:val="18"/>
              </w:rPr>
            </w:pPr>
            <w:r w:rsidRPr="0039092B">
              <w:rPr>
                <w:sz w:val="18"/>
                <w:szCs w:val="18"/>
              </w:rPr>
              <w:t>Satisfaction with accommodation and tenure</w:t>
            </w:r>
            <w:r w:rsidRPr="0039092B">
              <w:rPr>
                <w:sz w:val="18"/>
                <w:szCs w:val="18"/>
              </w:rPr>
              <w:tab/>
            </w:r>
          </w:p>
        </w:tc>
        <w:tc>
          <w:tcPr>
            <w:tcW w:w="2444" w:type="dxa"/>
          </w:tcPr>
          <w:p w14:paraId="5FF92E1C" w14:textId="77777777" w:rsidR="009F2080" w:rsidRPr="0039092B" w:rsidRDefault="009F2080" w:rsidP="00020B31">
            <w:pPr>
              <w:rPr>
                <w:sz w:val="18"/>
                <w:szCs w:val="18"/>
              </w:rPr>
            </w:pPr>
            <w:r w:rsidRPr="0039092B">
              <w:rPr>
                <w:sz w:val="18"/>
                <w:szCs w:val="18"/>
              </w:rPr>
              <w:t>Tenure</w:t>
            </w:r>
          </w:p>
        </w:tc>
      </w:tr>
    </w:tbl>
    <w:p w14:paraId="443B8E9A" w14:textId="477D5905" w:rsidR="009A15DF" w:rsidRDefault="009A15DF" w:rsidP="009A15DF">
      <w:r>
        <w:t>Table 2.</w:t>
      </w:r>
      <w:r>
        <w:t>2</w:t>
      </w:r>
    </w:p>
    <w:p w14:paraId="1F61D392" w14:textId="77777777" w:rsidR="009F2080" w:rsidRDefault="009F2080" w:rsidP="009F2080"/>
    <w:p w14:paraId="06FE3FB7" w14:textId="77777777" w:rsidR="009F2080" w:rsidRDefault="009F2080" w:rsidP="009F2080">
      <w:pPr>
        <w:pStyle w:val="Heading3"/>
      </w:pPr>
      <w:r>
        <w:t>2.3 Community cohesion – an action guide</w:t>
      </w:r>
    </w:p>
    <w:tbl>
      <w:tblPr>
        <w:tblStyle w:val="TableGrid"/>
        <w:tblW w:w="0" w:type="auto"/>
        <w:tblLook w:val="04A0" w:firstRow="1" w:lastRow="0" w:firstColumn="1" w:lastColumn="0" w:noHBand="0" w:noVBand="1"/>
      </w:tblPr>
      <w:tblGrid>
        <w:gridCol w:w="581"/>
        <w:gridCol w:w="1682"/>
        <w:gridCol w:w="4352"/>
        <w:gridCol w:w="2401"/>
      </w:tblGrid>
      <w:tr w:rsidR="009F2080" w14:paraId="5884A0F8" w14:textId="77777777" w:rsidTr="00020B31">
        <w:tc>
          <w:tcPr>
            <w:tcW w:w="581" w:type="dxa"/>
            <w:shd w:val="clear" w:color="auto" w:fill="4472C4" w:themeFill="accent1"/>
          </w:tcPr>
          <w:p w14:paraId="62DF0162" w14:textId="77777777" w:rsidR="009F2080" w:rsidRDefault="009F2080" w:rsidP="00020B31">
            <w:pPr>
              <w:rPr>
                <w:b/>
                <w:bCs/>
              </w:rPr>
            </w:pPr>
          </w:p>
        </w:tc>
        <w:tc>
          <w:tcPr>
            <w:tcW w:w="1682" w:type="dxa"/>
            <w:shd w:val="clear" w:color="auto" w:fill="4472C4" w:themeFill="accent1"/>
          </w:tcPr>
          <w:p w14:paraId="2044E565" w14:textId="77777777" w:rsidR="009F2080" w:rsidRPr="0028764B" w:rsidRDefault="009F2080" w:rsidP="00020B31">
            <w:pPr>
              <w:rPr>
                <w:b/>
                <w:bCs/>
              </w:rPr>
            </w:pPr>
            <w:r>
              <w:rPr>
                <w:b/>
                <w:bCs/>
              </w:rPr>
              <w:t>T</w:t>
            </w:r>
            <w:r w:rsidRPr="0028764B">
              <w:rPr>
                <w:b/>
                <w:bCs/>
              </w:rPr>
              <w:t>heme</w:t>
            </w:r>
          </w:p>
        </w:tc>
        <w:tc>
          <w:tcPr>
            <w:tcW w:w="4352" w:type="dxa"/>
            <w:shd w:val="clear" w:color="auto" w:fill="4472C4" w:themeFill="accent1"/>
          </w:tcPr>
          <w:p w14:paraId="0E211089" w14:textId="77777777" w:rsidR="009F2080" w:rsidRPr="0028764B" w:rsidRDefault="009F2080" w:rsidP="00020B31">
            <w:pPr>
              <w:rPr>
                <w:b/>
                <w:bCs/>
              </w:rPr>
            </w:pPr>
            <w:r>
              <w:rPr>
                <w:b/>
                <w:bCs/>
              </w:rPr>
              <w:t>I</w:t>
            </w:r>
            <w:r w:rsidRPr="0028764B">
              <w:rPr>
                <w:b/>
                <w:bCs/>
              </w:rPr>
              <w:t>ssue</w:t>
            </w:r>
          </w:p>
        </w:tc>
        <w:tc>
          <w:tcPr>
            <w:tcW w:w="2401" w:type="dxa"/>
            <w:shd w:val="clear" w:color="auto" w:fill="4472C4" w:themeFill="accent1"/>
          </w:tcPr>
          <w:p w14:paraId="25841E21" w14:textId="77777777" w:rsidR="009F2080" w:rsidRPr="0028764B" w:rsidRDefault="009F2080" w:rsidP="00020B31">
            <w:pPr>
              <w:rPr>
                <w:b/>
                <w:bCs/>
              </w:rPr>
            </w:pPr>
            <w:r>
              <w:rPr>
                <w:b/>
                <w:bCs/>
              </w:rPr>
              <w:t>M</w:t>
            </w:r>
            <w:r w:rsidRPr="0028764B">
              <w:rPr>
                <w:b/>
                <w:bCs/>
              </w:rPr>
              <w:t>easure</w:t>
            </w:r>
          </w:p>
        </w:tc>
      </w:tr>
      <w:tr w:rsidR="009F2080" w14:paraId="472BC345" w14:textId="77777777" w:rsidTr="00020B31">
        <w:tc>
          <w:tcPr>
            <w:tcW w:w="581" w:type="dxa"/>
          </w:tcPr>
          <w:p w14:paraId="732020C8" w14:textId="77777777" w:rsidR="009F2080" w:rsidRPr="00101473" w:rsidRDefault="009F2080" w:rsidP="00020B31">
            <w:pPr>
              <w:rPr>
                <w:rFonts w:cstheme="minorHAnsi"/>
                <w:sz w:val="18"/>
                <w:szCs w:val="18"/>
              </w:rPr>
            </w:pPr>
            <w:r>
              <w:rPr>
                <w:rFonts w:cstheme="minorHAnsi"/>
                <w:sz w:val="18"/>
                <w:szCs w:val="18"/>
              </w:rPr>
              <w:t>2.3.1</w:t>
            </w:r>
          </w:p>
        </w:tc>
        <w:tc>
          <w:tcPr>
            <w:tcW w:w="1682" w:type="dxa"/>
          </w:tcPr>
          <w:p w14:paraId="32969EEE" w14:textId="77777777" w:rsidR="009F2080" w:rsidRPr="00101473" w:rsidRDefault="009F2080" w:rsidP="00020B31">
            <w:pPr>
              <w:rPr>
                <w:rFonts w:cstheme="minorHAnsi"/>
                <w:sz w:val="18"/>
                <w:szCs w:val="18"/>
              </w:rPr>
            </w:pPr>
            <w:r w:rsidRPr="00101473">
              <w:rPr>
                <w:rFonts w:cstheme="minorHAnsi"/>
                <w:sz w:val="18"/>
                <w:szCs w:val="18"/>
              </w:rPr>
              <w:t>Overcoming segregation</w:t>
            </w:r>
          </w:p>
        </w:tc>
        <w:tc>
          <w:tcPr>
            <w:tcW w:w="4352" w:type="dxa"/>
          </w:tcPr>
          <w:p w14:paraId="575BD71E" w14:textId="77777777" w:rsidR="009F2080" w:rsidRPr="00101473" w:rsidRDefault="009F2080" w:rsidP="00020B31">
            <w:pPr>
              <w:rPr>
                <w:rFonts w:cstheme="minorHAnsi"/>
                <w:sz w:val="18"/>
                <w:szCs w:val="18"/>
              </w:rPr>
            </w:pPr>
            <w:r w:rsidRPr="00101473">
              <w:rPr>
                <w:rFonts w:cstheme="minorHAnsi"/>
                <w:sz w:val="18"/>
                <w:szCs w:val="18"/>
              </w:rPr>
              <w:t>housing estates have become mono-cultural and different communities exist in parallel. Separation between groups living in different localities is not necessarily problematic in itself, but compounded by deprivation and a lack of interaction, segregation may lead to fear and mistrust</w:t>
            </w:r>
          </w:p>
        </w:tc>
        <w:tc>
          <w:tcPr>
            <w:tcW w:w="2401" w:type="dxa"/>
          </w:tcPr>
          <w:p w14:paraId="79587EC0" w14:textId="77777777" w:rsidR="009F2080" w:rsidRPr="00101473" w:rsidRDefault="009F2080" w:rsidP="00020B31">
            <w:pPr>
              <w:rPr>
                <w:rFonts w:cstheme="minorHAnsi"/>
                <w:sz w:val="18"/>
                <w:szCs w:val="18"/>
              </w:rPr>
            </w:pPr>
            <w:r w:rsidRPr="00101473">
              <w:rPr>
                <w:rFonts w:cstheme="minorHAnsi"/>
                <w:sz w:val="18"/>
                <w:szCs w:val="18"/>
              </w:rPr>
              <w:t>Avoid segregation</w:t>
            </w:r>
          </w:p>
          <w:p w14:paraId="53037852" w14:textId="77777777" w:rsidR="009F2080" w:rsidRPr="00101473" w:rsidRDefault="009F2080" w:rsidP="00020B31">
            <w:pPr>
              <w:rPr>
                <w:rFonts w:cstheme="minorHAnsi"/>
                <w:sz w:val="18"/>
                <w:szCs w:val="18"/>
              </w:rPr>
            </w:pPr>
            <w:r w:rsidRPr="00101473">
              <w:rPr>
                <w:rFonts w:cstheme="minorHAnsi"/>
                <w:sz w:val="18"/>
                <w:szCs w:val="18"/>
              </w:rPr>
              <w:t xml:space="preserve">Foster interaction </w:t>
            </w:r>
          </w:p>
        </w:tc>
      </w:tr>
      <w:tr w:rsidR="009F2080" w14:paraId="7BC10AEC" w14:textId="77777777" w:rsidTr="00020B31">
        <w:tc>
          <w:tcPr>
            <w:tcW w:w="581" w:type="dxa"/>
          </w:tcPr>
          <w:p w14:paraId="74EF13F7" w14:textId="77777777" w:rsidR="009F2080" w:rsidRPr="00101473" w:rsidRDefault="009F2080" w:rsidP="00020B31">
            <w:pPr>
              <w:rPr>
                <w:rFonts w:cstheme="minorHAnsi"/>
                <w:sz w:val="18"/>
                <w:szCs w:val="18"/>
              </w:rPr>
            </w:pPr>
            <w:r w:rsidRPr="008F7E1A">
              <w:rPr>
                <w:rFonts w:cstheme="minorHAnsi"/>
                <w:sz w:val="18"/>
                <w:szCs w:val="18"/>
              </w:rPr>
              <w:t>2.3.</w:t>
            </w:r>
            <w:r>
              <w:rPr>
                <w:rFonts w:cstheme="minorHAnsi"/>
                <w:sz w:val="18"/>
                <w:szCs w:val="18"/>
              </w:rPr>
              <w:t>2</w:t>
            </w:r>
          </w:p>
        </w:tc>
        <w:tc>
          <w:tcPr>
            <w:tcW w:w="1682" w:type="dxa"/>
          </w:tcPr>
          <w:p w14:paraId="12DDEC22" w14:textId="77777777" w:rsidR="009F2080" w:rsidRPr="00101473" w:rsidRDefault="009F2080" w:rsidP="00020B31">
            <w:pPr>
              <w:rPr>
                <w:rFonts w:cstheme="minorHAnsi"/>
                <w:sz w:val="18"/>
                <w:szCs w:val="18"/>
              </w:rPr>
            </w:pPr>
            <w:r w:rsidRPr="00101473">
              <w:rPr>
                <w:rFonts w:cstheme="minorHAnsi"/>
                <w:sz w:val="18"/>
                <w:szCs w:val="18"/>
              </w:rPr>
              <w:t xml:space="preserve">Equal access </w:t>
            </w:r>
          </w:p>
        </w:tc>
        <w:tc>
          <w:tcPr>
            <w:tcW w:w="4352" w:type="dxa"/>
          </w:tcPr>
          <w:p w14:paraId="66B8A280" w14:textId="77777777" w:rsidR="009F2080" w:rsidRPr="00101473" w:rsidRDefault="009F2080" w:rsidP="00020B31">
            <w:pPr>
              <w:autoSpaceDE w:val="0"/>
              <w:autoSpaceDN w:val="0"/>
              <w:adjustRightInd w:val="0"/>
              <w:rPr>
                <w:rFonts w:cstheme="minorHAnsi"/>
                <w:sz w:val="18"/>
                <w:szCs w:val="18"/>
              </w:rPr>
            </w:pPr>
            <w:r w:rsidRPr="00101473">
              <w:rPr>
                <w:rFonts w:cstheme="minorHAnsi"/>
                <w:sz w:val="18"/>
                <w:szCs w:val="18"/>
              </w:rPr>
              <w:t>Neighbourhoods may become unsustainable</w:t>
            </w:r>
          </w:p>
          <w:p w14:paraId="543EF3A6" w14:textId="77777777" w:rsidR="009F2080" w:rsidRPr="00101473" w:rsidRDefault="009F2080" w:rsidP="00020B31">
            <w:pPr>
              <w:autoSpaceDE w:val="0"/>
              <w:autoSpaceDN w:val="0"/>
              <w:adjustRightInd w:val="0"/>
              <w:rPr>
                <w:rFonts w:cstheme="minorHAnsi"/>
                <w:sz w:val="18"/>
                <w:szCs w:val="18"/>
              </w:rPr>
            </w:pPr>
            <w:r w:rsidRPr="00101473">
              <w:rPr>
                <w:rFonts w:cstheme="minorHAnsi"/>
                <w:sz w:val="18"/>
                <w:szCs w:val="18"/>
              </w:rPr>
              <w:t>where housing cannot be accessed equally by all communities.</w:t>
            </w:r>
          </w:p>
        </w:tc>
        <w:tc>
          <w:tcPr>
            <w:tcW w:w="2401" w:type="dxa"/>
          </w:tcPr>
          <w:p w14:paraId="0E15F768" w14:textId="77777777" w:rsidR="009F2080" w:rsidRPr="00101473" w:rsidRDefault="009F2080" w:rsidP="00020B31">
            <w:pPr>
              <w:rPr>
                <w:rFonts w:cstheme="minorHAnsi"/>
                <w:sz w:val="18"/>
                <w:szCs w:val="18"/>
              </w:rPr>
            </w:pPr>
            <w:r w:rsidRPr="00101473">
              <w:rPr>
                <w:rFonts w:cstheme="minorHAnsi"/>
                <w:sz w:val="18"/>
                <w:szCs w:val="18"/>
              </w:rPr>
              <w:t>Ensure equal access to diverse groups</w:t>
            </w:r>
          </w:p>
        </w:tc>
      </w:tr>
      <w:tr w:rsidR="009F2080" w14:paraId="03E2F0FC" w14:textId="77777777" w:rsidTr="00020B31">
        <w:tc>
          <w:tcPr>
            <w:tcW w:w="581" w:type="dxa"/>
          </w:tcPr>
          <w:p w14:paraId="37CCFE24" w14:textId="77777777" w:rsidR="009F2080" w:rsidRPr="00101473" w:rsidRDefault="009F2080" w:rsidP="00020B31">
            <w:pPr>
              <w:rPr>
                <w:rFonts w:cstheme="minorHAnsi"/>
                <w:sz w:val="18"/>
                <w:szCs w:val="18"/>
              </w:rPr>
            </w:pPr>
            <w:r w:rsidRPr="008F7E1A">
              <w:rPr>
                <w:rFonts w:cstheme="minorHAnsi"/>
                <w:sz w:val="18"/>
                <w:szCs w:val="18"/>
              </w:rPr>
              <w:t>2.3.</w:t>
            </w:r>
            <w:r>
              <w:rPr>
                <w:rFonts w:cstheme="minorHAnsi"/>
                <w:sz w:val="18"/>
                <w:szCs w:val="18"/>
              </w:rPr>
              <w:t>3</w:t>
            </w:r>
          </w:p>
        </w:tc>
        <w:tc>
          <w:tcPr>
            <w:tcW w:w="1682" w:type="dxa"/>
          </w:tcPr>
          <w:p w14:paraId="4E3E6F0A" w14:textId="77777777" w:rsidR="009F2080" w:rsidRPr="00101473" w:rsidRDefault="009F2080" w:rsidP="00020B31">
            <w:pPr>
              <w:rPr>
                <w:rFonts w:cstheme="minorHAnsi"/>
                <w:sz w:val="18"/>
                <w:szCs w:val="18"/>
              </w:rPr>
            </w:pPr>
            <w:r w:rsidRPr="00101473">
              <w:rPr>
                <w:rFonts w:cstheme="minorHAnsi"/>
                <w:sz w:val="18"/>
                <w:szCs w:val="18"/>
              </w:rPr>
              <w:t>Link to other services</w:t>
            </w:r>
          </w:p>
        </w:tc>
        <w:tc>
          <w:tcPr>
            <w:tcW w:w="4352" w:type="dxa"/>
          </w:tcPr>
          <w:p w14:paraId="4C36A2CE" w14:textId="77777777" w:rsidR="009F2080" w:rsidRPr="00101473" w:rsidRDefault="009F2080" w:rsidP="00020B31">
            <w:pPr>
              <w:autoSpaceDE w:val="0"/>
              <w:autoSpaceDN w:val="0"/>
              <w:adjustRightInd w:val="0"/>
              <w:rPr>
                <w:rFonts w:cstheme="minorHAnsi"/>
                <w:sz w:val="18"/>
                <w:szCs w:val="18"/>
              </w:rPr>
            </w:pPr>
            <w:r w:rsidRPr="00101473">
              <w:rPr>
                <w:rFonts w:cstheme="minorHAnsi"/>
                <w:sz w:val="18"/>
                <w:szCs w:val="18"/>
              </w:rPr>
              <w:t>housing operates alongside other services, within a neighbourhood context to address community development and community safety issues and involve partners such as the police, schools and local tenants groups</w:t>
            </w:r>
          </w:p>
        </w:tc>
        <w:tc>
          <w:tcPr>
            <w:tcW w:w="2401" w:type="dxa"/>
          </w:tcPr>
          <w:p w14:paraId="6710A04F" w14:textId="77777777" w:rsidR="009F2080" w:rsidRPr="00101473" w:rsidRDefault="009F2080" w:rsidP="00020B31">
            <w:pPr>
              <w:rPr>
                <w:rFonts w:cstheme="minorHAnsi"/>
                <w:sz w:val="18"/>
                <w:szCs w:val="18"/>
              </w:rPr>
            </w:pPr>
            <w:r w:rsidRPr="00101473">
              <w:rPr>
                <w:rFonts w:cstheme="minorHAnsi"/>
                <w:sz w:val="18"/>
                <w:szCs w:val="18"/>
              </w:rPr>
              <w:t xml:space="preserve">Provide link with community services </w:t>
            </w:r>
          </w:p>
        </w:tc>
      </w:tr>
      <w:tr w:rsidR="009F2080" w14:paraId="5434889A" w14:textId="77777777" w:rsidTr="00020B31">
        <w:tc>
          <w:tcPr>
            <w:tcW w:w="581" w:type="dxa"/>
          </w:tcPr>
          <w:p w14:paraId="3443B7CF" w14:textId="77777777" w:rsidR="009F2080" w:rsidRPr="00101473" w:rsidRDefault="009F2080" w:rsidP="00020B31">
            <w:pPr>
              <w:rPr>
                <w:rFonts w:cstheme="minorHAnsi"/>
                <w:sz w:val="18"/>
                <w:szCs w:val="18"/>
              </w:rPr>
            </w:pPr>
            <w:r w:rsidRPr="008F7E1A">
              <w:rPr>
                <w:rFonts w:cstheme="minorHAnsi"/>
                <w:sz w:val="18"/>
                <w:szCs w:val="18"/>
              </w:rPr>
              <w:t>2.3.</w:t>
            </w:r>
            <w:r>
              <w:rPr>
                <w:rFonts w:cstheme="minorHAnsi"/>
                <w:sz w:val="18"/>
                <w:szCs w:val="18"/>
              </w:rPr>
              <w:t>4</w:t>
            </w:r>
          </w:p>
        </w:tc>
        <w:tc>
          <w:tcPr>
            <w:tcW w:w="1682" w:type="dxa"/>
          </w:tcPr>
          <w:p w14:paraId="24EF45E2" w14:textId="77777777" w:rsidR="009F2080" w:rsidRPr="00101473" w:rsidRDefault="009F2080" w:rsidP="00020B31">
            <w:pPr>
              <w:rPr>
                <w:rFonts w:cstheme="minorHAnsi"/>
                <w:sz w:val="18"/>
                <w:szCs w:val="18"/>
              </w:rPr>
            </w:pPr>
            <w:r w:rsidRPr="00101473">
              <w:rPr>
                <w:rFonts w:cstheme="minorHAnsi"/>
                <w:sz w:val="18"/>
                <w:szCs w:val="18"/>
              </w:rPr>
              <w:t>resident led approaches</w:t>
            </w:r>
          </w:p>
        </w:tc>
        <w:tc>
          <w:tcPr>
            <w:tcW w:w="4352" w:type="dxa"/>
          </w:tcPr>
          <w:p w14:paraId="0A58C619" w14:textId="77777777" w:rsidR="009F2080" w:rsidRPr="00101473" w:rsidRDefault="009F2080" w:rsidP="00020B31">
            <w:pPr>
              <w:autoSpaceDE w:val="0"/>
              <w:autoSpaceDN w:val="0"/>
              <w:adjustRightInd w:val="0"/>
              <w:rPr>
                <w:rFonts w:cstheme="minorHAnsi"/>
                <w:sz w:val="18"/>
                <w:szCs w:val="18"/>
              </w:rPr>
            </w:pPr>
            <w:r w:rsidRPr="00101473">
              <w:rPr>
                <w:rFonts w:cstheme="minorHAnsi"/>
                <w:sz w:val="18"/>
                <w:szCs w:val="18"/>
              </w:rPr>
              <w:t>establishing resident led approaches to</w:t>
            </w:r>
          </w:p>
          <w:p w14:paraId="0AB45C24" w14:textId="77777777" w:rsidR="009F2080" w:rsidRPr="00101473" w:rsidRDefault="009F2080" w:rsidP="00020B31">
            <w:pPr>
              <w:autoSpaceDE w:val="0"/>
              <w:autoSpaceDN w:val="0"/>
              <w:adjustRightInd w:val="0"/>
              <w:rPr>
                <w:rFonts w:cstheme="minorHAnsi"/>
                <w:sz w:val="18"/>
                <w:szCs w:val="18"/>
              </w:rPr>
            </w:pPr>
            <w:r w:rsidRPr="00101473">
              <w:rPr>
                <w:rFonts w:cstheme="minorHAnsi"/>
                <w:sz w:val="18"/>
                <w:szCs w:val="18"/>
              </w:rPr>
              <w:t>ownership of housing policies in a locality by enabling resident groups to identify and address conflict in groups.</w:t>
            </w:r>
          </w:p>
        </w:tc>
        <w:tc>
          <w:tcPr>
            <w:tcW w:w="2401" w:type="dxa"/>
          </w:tcPr>
          <w:p w14:paraId="443F8740" w14:textId="77777777" w:rsidR="009F2080" w:rsidRPr="00101473" w:rsidRDefault="009F2080" w:rsidP="00020B31">
            <w:pPr>
              <w:rPr>
                <w:rFonts w:cstheme="minorHAnsi"/>
                <w:sz w:val="18"/>
                <w:szCs w:val="18"/>
              </w:rPr>
            </w:pPr>
          </w:p>
        </w:tc>
      </w:tr>
      <w:tr w:rsidR="009F2080" w14:paraId="466B5FD3" w14:textId="77777777" w:rsidTr="00020B31">
        <w:tc>
          <w:tcPr>
            <w:tcW w:w="581" w:type="dxa"/>
          </w:tcPr>
          <w:p w14:paraId="7E695A6D" w14:textId="77777777" w:rsidR="009F2080" w:rsidRPr="00101473" w:rsidRDefault="009F2080" w:rsidP="00020B31">
            <w:pPr>
              <w:rPr>
                <w:rFonts w:cstheme="minorHAnsi"/>
                <w:sz w:val="18"/>
                <w:szCs w:val="18"/>
              </w:rPr>
            </w:pPr>
            <w:r w:rsidRPr="008F7E1A">
              <w:rPr>
                <w:rFonts w:cstheme="minorHAnsi"/>
                <w:sz w:val="18"/>
                <w:szCs w:val="18"/>
              </w:rPr>
              <w:t>2.3.</w:t>
            </w:r>
            <w:r>
              <w:rPr>
                <w:rFonts w:cstheme="minorHAnsi"/>
                <w:sz w:val="18"/>
                <w:szCs w:val="18"/>
              </w:rPr>
              <w:t>5</w:t>
            </w:r>
          </w:p>
        </w:tc>
        <w:tc>
          <w:tcPr>
            <w:tcW w:w="1682" w:type="dxa"/>
          </w:tcPr>
          <w:p w14:paraId="2ABF09AD" w14:textId="77777777" w:rsidR="009F2080" w:rsidRPr="00101473" w:rsidRDefault="009F2080" w:rsidP="00020B31">
            <w:pPr>
              <w:rPr>
                <w:rFonts w:cstheme="minorHAnsi"/>
                <w:sz w:val="18"/>
                <w:szCs w:val="18"/>
              </w:rPr>
            </w:pPr>
            <w:r w:rsidRPr="00101473">
              <w:rPr>
                <w:rFonts w:cstheme="minorHAnsi"/>
                <w:sz w:val="18"/>
                <w:szCs w:val="18"/>
              </w:rPr>
              <w:t>anti-social behaviour (ASB)</w:t>
            </w:r>
          </w:p>
        </w:tc>
        <w:tc>
          <w:tcPr>
            <w:tcW w:w="4352" w:type="dxa"/>
          </w:tcPr>
          <w:p w14:paraId="7DE2F1E8" w14:textId="77777777" w:rsidR="009F2080" w:rsidRPr="00101473" w:rsidRDefault="009F2080" w:rsidP="00020B31">
            <w:pPr>
              <w:autoSpaceDE w:val="0"/>
              <w:autoSpaceDN w:val="0"/>
              <w:adjustRightInd w:val="0"/>
              <w:rPr>
                <w:rFonts w:cstheme="minorHAnsi"/>
                <w:sz w:val="18"/>
                <w:szCs w:val="18"/>
              </w:rPr>
            </w:pPr>
            <w:r w:rsidRPr="00101473">
              <w:rPr>
                <w:rFonts w:cstheme="minorHAnsi"/>
                <w:sz w:val="18"/>
                <w:szCs w:val="18"/>
              </w:rPr>
              <w:t>tackling of anti-social behaviour (ASB)</w:t>
            </w:r>
          </w:p>
        </w:tc>
        <w:tc>
          <w:tcPr>
            <w:tcW w:w="2401" w:type="dxa"/>
          </w:tcPr>
          <w:p w14:paraId="06675D1A" w14:textId="77777777" w:rsidR="009F2080" w:rsidRPr="00101473" w:rsidRDefault="009F2080" w:rsidP="00020B31">
            <w:pPr>
              <w:rPr>
                <w:rFonts w:cstheme="minorHAnsi"/>
                <w:sz w:val="18"/>
                <w:szCs w:val="18"/>
              </w:rPr>
            </w:pPr>
            <w:r w:rsidRPr="00101473">
              <w:rPr>
                <w:rFonts w:cstheme="minorHAnsi"/>
                <w:sz w:val="18"/>
                <w:szCs w:val="18"/>
              </w:rPr>
              <w:t>Monitor and avoid ASB</w:t>
            </w:r>
          </w:p>
        </w:tc>
      </w:tr>
    </w:tbl>
    <w:p w14:paraId="2ECCFD58" w14:textId="262F095A" w:rsidR="009A15DF" w:rsidRDefault="009A15DF" w:rsidP="009A15DF">
      <w:r>
        <w:t>Table 2.</w:t>
      </w:r>
      <w:r>
        <w:t>3</w:t>
      </w:r>
    </w:p>
    <w:p w14:paraId="2047F008" w14:textId="77777777" w:rsidR="009F2080" w:rsidRDefault="009F2080" w:rsidP="009F2080"/>
    <w:p w14:paraId="02D0163C" w14:textId="77777777" w:rsidR="009F2080" w:rsidRDefault="009F2080" w:rsidP="009F2080">
      <w:r>
        <w:t>The Government has committed to “increase building output to 300,000 homes a year” and “deliver one million new homes by the end of this Parliament”, which is due to end in 2024</w:t>
      </w:r>
    </w:p>
    <w:p w14:paraId="03F1BF89" w14:textId="77777777" w:rsidR="009F2080" w:rsidRDefault="009F2080" w:rsidP="009F2080"/>
    <w:p w14:paraId="6C4DA60A" w14:textId="77777777" w:rsidR="009F2080" w:rsidRDefault="009F2080" w:rsidP="009F2080">
      <w:pPr>
        <w:pStyle w:val="Heading2"/>
      </w:pPr>
      <w:r>
        <w:t>Dataset 3: spatial features of resilient communities</w:t>
      </w:r>
    </w:p>
    <w:p w14:paraId="00EA1B1D" w14:textId="77777777" w:rsidR="009F2080" w:rsidRDefault="009F2080" w:rsidP="009F2080">
      <w:pPr>
        <w:pStyle w:val="Heading3"/>
      </w:pPr>
      <w:r>
        <w:t>3.1 Spatial urban features</w:t>
      </w:r>
    </w:p>
    <w:tbl>
      <w:tblPr>
        <w:tblStyle w:val="TableGrid"/>
        <w:tblW w:w="0" w:type="auto"/>
        <w:tblLook w:val="04A0" w:firstRow="1" w:lastRow="0" w:firstColumn="1" w:lastColumn="0" w:noHBand="0" w:noVBand="1"/>
      </w:tblPr>
      <w:tblGrid>
        <w:gridCol w:w="581"/>
        <w:gridCol w:w="1820"/>
        <w:gridCol w:w="2362"/>
        <w:gridCol w:w="2519"/>
        <w:gridCol w:w="1734"/>
      </w:tblGrid>
      <w:tr w:rsidR="009F2080" w14:paraId="62D81D61" w14:textId="77777777" w:rsidTr="00020B31">
        <w:tc>
          <w:tcPr>
            <w:tcW w:w="581" w:type="dxa"/>
            <w:shd w:val="clear" w:color="auto" w:fill="4472C4" w:themeFill="accent1"/>
          </w:tcPr>
          <w:p w14:paraId="301EDDC9" w14:textId="77777777" w:rsidR="009F2080" w:rsidRPr="00FF52F5" w:rsidRDefault="009F2080" w:rsidP="00020B31">
            <w:pPr>
              <w:rPr>
                <w:b/>
                <w:bCs/>
              </w:rPr>
            </w:pPr>
          </w:p>
        </w:tc>
        <w:tc>
          <w:tcPr>
            <w:tcW w:w="1820" w:type="dxa"/>
            <w:shd w:val="clear" w:color="auto" w:fill="4472C4" w:themeFill="accent1"/>
          </w:tcPr>
          <w:p w14:paraId="2B2F2EFB" w14:textId="77777777" w:rsidR="009F2080" w:rsidRPr="00FF52F5" w:rsidRDefault="009F2080" w:rsidP="00020B31">
            <w:pPr>
              <w:rPr>
                <w:b/>
                <w:bCs/>
              </w:rPr>
            </w:pPr>
            <w:r w:rsidRPr="00FF52F5">
              <w:rPr>
                <w:b/>
                <w:bCs/>
              </w:rPr>
              <w:t>Urban feature</w:t>
            </w:r>
          </w:p>
        </w:tc>
        <w:tc>
          <w:tcPr>
            <w:tcW w:w="2362" w:type="dxa"/>
            <w:shd w:val="clear" w:color="auto" w:fill="4472C4" w:themeFill="accent1"/>
          </w:tcPr>
          <w:p w14:paraId="4C2A12AF" w14:textId="77777777" w:rsidR="009F2080" w:rsidRPr="00FF52F5" w:rsidRDefault="009F2080" w:rsidP="00020B31">
            <w:pPr>
              <w:rPr>
                <w:b/>
                <w:bCs/>
              </w:rPr>
            </w:pPr>
            <w:r w:rsidRPr="00FF52F5">
              <w:rPr>
                <w:b/>
                <w:bCs/>
              </w:rPr>
              <w:t>Example</w:t>
            </w:r>
          </w:p>
        </w:tc>
        <w:tc>
          <w:tcPr>
            <w:tcW w:w="2519" w:type="dxa"/>
            <w:shd w:val="clear" w:color="auto" w:fill="4472C4" w:themeFill="accent1"/>
          </w:tcPr>
          <w:p w14:paraId="051BAE50" w14:textId="77777777" w:rsidR="009F2080" w:rsidRPr="00FF52F5" w:rsidRDefault="009F2080" w:rsidP="00020B31">
            <w:pPr>
              <w:rPr>
                <w:b/>
                <w:bCs/>
              </w:rPr>
            </w:pPr>
            <w:r w:rsidRPr="00FF52F5">
              <w:rPr>
                <w:b/>
                <w:bCs/>
              </w:rPr>
              <w:t>Design criterion</w:t>
            </w:r>
          </w:p>
        </w:tc>
        <w:tc>
          <w:tcPr>
            <w:tcW w:w="1734" w:type="dxa"/>
            <w:shd w:val="clear" w:color="auto" w:fill="4472C4" w:themeFill="accent1"/>
          </w:tcPr>
          <w:p w14:paraId="11FAF00F" w14:textId="77777777" w:rsidR="009F2080" w:rsidRPr="00FF52F5" w:rsidRDefault="009F2080" w:rsidP="00020B31">
            <w:pPr>
              <w:rPr>
                <w:b/>
                <w:bCs/>
              </w:rPr>
            </w:pPr>
            <w:r w:rsidRPr="00FF52F5">
              <w:rPr>
                <w:b/>
                <w:bCs/>
              </w:rPr>
              <w:t>measure</w:t>
            </w:r>
          </w:p>
        </w:tc>
      </w:tr>
      <w:tr w:rsidR="009F2080" w14:paraId="2FDEA521" w14:textId="77777777" w:rsidTr="00020B31">
        <w:tc>
          <w:tcPr>
            <w:tcW w:w="581" w:type="dxa"/>
          </w:tcPr>
          <w:p w14:paraId="17EBF958" w14:textId="77777777" w:rsidR="009F2080" w:rsidRPr="00BB2306" w:rsidRDefault="009F2080" w:rsidP="00020B31">
            <w:pPr>
              <w:rPr>
                <w:rFonts w:cstheme="minorHAnsi"/>
                <w:sz w:val="18"/>
                <w:szCs w:val="18"/>
              </w:rPr>
            </w:pPr>
            <w:r>
              <w:rPr>
                <w:rFonts w:cstheme="minorHAnsi"/>
                <w:sz w:val="18"/>
                <w:szCs w:val="18"/>
              </w:rPr>
              <w:t>3.1.1</w:t>
            </w:r>
          </w:p>
        </w:tc>
        <w:tc>
          <w:tcPr>
            <w:tcW w:w="1820" w:type="dxa"/>
          </w:tcPr>
          <w:p w14:paraId="52C9560C" w14:textId="77777777" w:rsidR="009F2080" w:rsidRPr="00BB2306" w:rsidRDefault="009F2080" w:rsidP="00020B31">
            <w:pPr>
              <w:rPr>
                <w:rFonts w:cstheme="minorHAnsi"/>
                <w:sz w:val="18"/>
                <w:szCs w:val="18"/>
              </w:rPr>
            </w:pPr>
            <w:r w:rsidRPr="00BB2306">
              <w:rPr>
                <w:rFonts w:cstheme="minorHAnsi"/>
                <w:sz w:val="18"/>
                <w:szCs w:val="18"/>
              </w:rPr>
              <w:t>transportation facilities</w:t>
            </w:r>
          </w:p>
        </w:tc>
        <w:tc>
          <w:tcPr>
            <w:tcW w:w="2362" w:type="dxa"/>
          </w:tcPr>
          <w:p w14:paraId="10F6E33A" w14:textId="77777777" w:rsidR="009F2080" w:rsidRPr="00BB2306" w:rsidRDefault="009F2080" w:rsidP="00020B31">
            <w:pPr>
              <w:rPr>
                <w:rFonts w:cstheme="minorHAnsi"/>
                <w:sz w:val="18"/>
                <w:szCs w:val="18"/>
              </w:rPr>
            </w:pPr>
            <w:r w:rsidRPr="00BB2306">
              <w:rPr>
                <w:rFonts w:cstheme="minorHAnsi"/>
                <w:sz w:val="18"/>
                <w:szCs w:val="18"/>
              </w:rPr>
              <w:t>train and underground stations, bus stops and airports</w:t>
            </w:r>
          </w:p>
        </w:tc>
        <w:tc>
          <w:tcPr>
            <w:tcW w:w="2519" w:type="dxa"/>
          </w:tcPr>
          <w:p w14:paraId="6A77EBE1" w14:textId="77777777" w:rsidR="009F2080" w:rsidRPr="00BB2306" w:rsidRDefault="009F2080" w:rsidP="00020B31">
            <w:pPr>
              <w:rPr>
                <w:rFonts w:cstheme="minorHAnsi"/>
                <w:sz w:val="18"/>
                <w:szCs w:val="18"/>
              </w:rPr>
            </w:pPr>
            <w:r w:rsidRPr="00BB2306">
              <w:rPr>
                <w:rFonts w:cstheme="minorHAnsi"/>
                <w:sz w:val="18"/>
                <w:szCs w:val="18"/>
              </w:rPr>
              <w:t>Proximity to facility</w:t>
            </w:r>
          </w:p>
          <w:p w14:paraId="15A0FF57" w14:textId="77777777" w:rsidR="009F2080" w:rsidRPr="00BB2306" w:rsidRDefault="009F2080" w:rsidP="00020B31">
            <w:pPr>
              <w:rPr>
                <w:rFonts w:cstheme="minorHAnsi"/>
                <w:sz w:val="18"/>
                <w:szCs w:val="18"/>
              </w:rPr>
            </w:pPr>
          </w:p>
          <w:p w14:paraId="5C7075F5" w14:textId="77777777" w:rsidR="009F2080" w:rsidRPr="00BB2306" w:rsidRDefault="009F2080" w:rsidP="00020B31">
            <w:pPr>
              <w:rPr>
                <w:rFonts w:cstheme="minorHAnsi"/>
                <w:sz w:val="18"/>
                <w:szCs w:val="18"/>
              </w:rPr>
            </w:pPr>
          </w:p>
          <w:p w14:paraId="616A3189" w14:textId="77777777" w:rsidR="009F2080" w:rsidRPr="00BB2306" w:rsidRDefault="009F2080" w:rsidP="00020B31">
            <w:pPr>
              <w:rPr>
                <w:rFonts w:cstheme="minorHAnsi"/>
                <w:sz w:val="18"/>
                <w:szCs w:val="18"/>
              </w:rPr>
            </w:pPr>
            <w:r w:rsidRPr="00BB2306">
              <w:rPr>
                <w:rFonts w:cstheme="minorHAnsi"/>
                <w:sz w:val="18"/>
                <w:szCs w:val="18"/>
              </w:rPr>
              <w:t>Number of facilities in area (radius to specify)</w:t>
            </w:r>
          </w:p>
        </w:tc>
        <w:tc>
          <w:tcPr>
            <w:tcW w:w="1734" w:type="dxa"/>
          </w:tcPr>
          <w:p w14:paraId="41FB4670" w14:textId="77777777" w:rsidR="009F2080" w:rsidRPr="00BB2306" w:rsidRDefault="009F2080" w:rsidP="00020B31">
            <w:pPr>
              <w:rPr>
                <w:rFonts w:cstheme="minorHAnsi"/>
                <w:sz w:val="18"/>
                <w:szCs w:val="18"/>
              </w:rPr>
            </w:pPr>
            <w:r w:rsidRPr="00BB2306">
              <w:rPr>
                <w:rFonts w:cstheme="minorHAnsi"/>
                <w:sz w:val="18"/>
                <w:szCs w:val="18"/>
              </w:rPr>
              <w:t>Metres, walking distance</w:t>
            </w:r>
          </w:p>
          <w:p w14:paraId="5FC9FF37" w14:textId="77777777" w:rsidR="009F2080" w:rsidRPr="00BB2306" w:rsidRDefault="009F2080" w:rsidP="00020B31">
            <w:pPr>
              <w:rPr>
                <w:rFonts w:cstheme="minorHAnsi"/>
                <w:sz w:val="18"/>
                <w:szCs w:val="18"/>
              </w:rPr>
            </w:pPr>
          </w:p>
          <w:p w14:paraId="6350DA96" w14:textId="77777777" w:rsidR="009F2080" w:rsidRPr="00BB2306" w:rsidRDefault="009F2080" w:rsidP="00020B31">
            <w:pPr>
              <w:rPr>
                <w:rFonts w:cstheme="minorHAnsi"/>
                <w:sz w:val="18"/>
                <w:szCs w:val="18"/>
              </w:rPr>
            </w:pPr>
            <w:r w:rsidRPr="00BB2306">
              <w:rPr>
                <w:rFonts w:cstheme="minorHAnsi"/>
                <w:sz w:val="18"/>
                <w:szCs w:val="18"/>
              </w:rPr>
              <w:t>Integer (</w:t>
            </w:r>
            <w:r w:rsidRPr="00BB2306">
              <w:rPr>
                <w:rFonts w:ascii="Cambria Math" w:hAnsi="Cambria Math" w:cs="Cambria Math"/>
                <w:sz w:val="18"/>
                <w:szCs w:val="18"/>
              </w:rPr>
              <w:t>ℤ</w:t>
            </w:r>
            <w:r w:rsidRPr="00BB2306">
              <w:rPr>
                <w:rFonts w:cstheme="minorHAnsi"/>
                <w:sz w:val="18"/>
                <w:szCs w:val="18"/>
              </w:rPr>
              <w:t>)</w:t>
            </w:r>
          </w:p>
        </w:tc>
      </w:tr>
      <w:tr w:rsidR="009F2080" w14:paraId="63098A08" w14:textId="77777777" w:rsidTr="00020B31">
        <w:tc>
          <w:tcPr>
            <w:tcW w:w="581" w:type="dxa"/>
          </w:tcPr>
          <w:p w14:paraId="0B71A767" w14:textId="77777777" w:rsidR="009F2080" w:rsidRPr="00BB2306" w:rsidRDefault="009F2080" w:rsidP="00020B31">
            <w:pPr>
              <w:rPr>
                <w:rFonts w:cstheme="minorHAnsi"/>
                <w:sz w:val="18"/>
                <w:szCs w:val="18"/>
              </w:rPr>
            </w:pPr>
            <w:r w:rsidRPr="00DD7F44">
              <w:rPr>
                <w:rFonts w:cstheme="minorHAnsi"/>
                <w:sz w:val="18"/>
                <w:szCs w:val="18"/>
              </w:rPr>
              <w:t>3.1.</w:t>
            </w:r>
            <w:r>
              <w:rPr>
                <w:rFonts w:cstheme="minorHAnsi"/>
                <w:sz w:val="18"/>
                <w:szCs w:val="18"/>
              </w:rPr>
              <w:t>2</w:t>
            </w:r>
          </w:p>
        </w:tc>
        <w:tc>
          <w:tcPr>
            <w:tcW w:w="1820" w:type="dxa"/>
          </w:tcPr>
          <w:p w14:paraId="222FC7AD" w14:textId="77777777" w:rsidR="009F2080" w:rsidRPr="00BB2306" w:rsidRDefault="009F2080" w:rsidP="00020B31">
            <w:pPr>
              <w:rPr>
                <w:rFonts w:cstheme="minorHAnsi"/>
                <w:sz w:val="18"/>
                <w:szCs w:val="18"/>
              </w:rPr>
            </w:pPr>
            <w:r w:rsidRPr="00BB2306">
              <w:rPr>
                <w:rFonts w:cstheme="minorHAnsi"/>
                <w:sz w:val="18"/>
                <w:szCs w:val="18"/>
              </w:rPr>
              <w:t xml:space="preserve">educational buildings </w:t>
            </w:r>
          </w:p>
        </w:tc>
        <w:tc>
          <w:tcPr>
            <w:tcW w:w="2362" w:type="dxa"/>
          </w:tcPr>
          <w:p w14:paraId="1E0C069A" w14:textId="77777777" w:rsidR="009F2080" w:rsidRPr="00BB2306" w:rsidRDefault="009F2080" w:rsidP="00020B31">
            <w:pPr>
              <w:rPr>
                <w:rFonts w:cstheme="minorHAnsi"/>
                <w:sz w:val="18"/>
                <w:szCs w:val="18"/>
              </w:rPr>
            </w:pPr>
            <w:r w:rsidRPr="00BB2306">
              <w:rPr>
                <w:rFonts w:cstheme="minorHAnsi"/>
                <w:sz w:val="18"/>
                <w:szCs w:val="18"/>
              </w:rPr>
              <w:t>primary and secondary schools, crèches and nurseries, universities and public libraries</w:t>
            </w:r>
          </w:p>
        </w:tc>
        <w:tc>
          <w:tcPr>
            <w:tcW w:w="2519" w:type="dxa"/>
          </w:tcPr>
          <w:p w14:paraId="4E65F1C0" w14:textId="77777777" w:rsidR="009F2080" w:rsidRPr="00BB2306" w:rsidRDefault="009F2080" w:rsidP="00020B31">
            <w:pPr>
              <w:rPr>
                <w:rFonts w:cstheme="minorHAnsi"/>
                <w:sz w:val="18"/>
                <w:szCs w:val="18"/>
              </w:rPr>
            </w:pPr>
            <w:r w:rsidRPr="00BB2306">
              <w:rPr>
                <w:rFonts w:cstheme="minorHAnsi"/>
                <w:sz w:val="18"/>
                <w:szCs w:val="18"/>
              </w:rPr>
              <w:t>Proximity to facility</w:t>
            </w:r>
          </w:p>
          <w:p w14:paraId="37F8283E" w14:textId="77777777" w:rsidR="009F2080" w:rsidRPr="00BB2306" w:rsidRDefault="009F2080" w:rsidP="00020B31">
            <w:pPr>
              <w:rPr>
                <w:rFonts w:cstheme="minorHAnsi"/>
                <w:sz w:val="18"/>
                <w:szCs w:val="18"/>
              </w:rPr>
            </w:pPr>
          </w:p>
          <w:p w14:paraId="462CB607" w14:textId="77777777" w:rsidR="009F2080" w:rsidRPr="00BB2306" w:rsidRDefault="009F2080" w:rsidP="00020B31">
            <w:pPr>
              <w:rPr>
                <w:rFonts w:cstheme="minorHAnsi"/>
                <w:sz w:val="18"/>
                <w:szCs w:val="18"/>
              </w:rPr>
            </w:pPr>
          </w:p>
          <w:p w14:paraId="3C500CC6" w14:textId="77777777" w:rsidR="009F2080" w:rsidRPr="00BB2306" w:rsidRDefault="009F2080" w:rsidP="00020B31">
            <w:pPr>
              <w:rPr>
                <w:rFonts w:cstheme="minorHAnsi"/>
                <w:sz w:val="18"/>
                <w:szCs w:val="18"/>
              </w:rPr>
            </w:pPr>
            <w:r w:rsidRPr="00BB2306">
              <w:rPr>
                <w:rFonts w:cstheme="minorHAnsi"/>
                <w:sz w:val="18"/>
                <w:szCs w:val="18"/>
              </w:rPr>
              <w:t>Number of facilities in area (radius to specify)</w:t>
            </w:r>
          </w:p>
        </w:tc>
        <w:tc>
          <w:tcPr>
            <w:tcW w:w="1734" w:type="dxa"/>
          </w:tcPr>
          <w:p w14:paraId="6606E6C9" w14:textId="77777777" w:rsidR="009F2080" w:rsidRPr="00BB2306" w:rsidRDefault="009F2080" w:rsidP="00020B31">
            <w:pPr>
              <w:rPr>
                <w:rFonts w:cstheme="minorHAnsi"/>
                <w:sz w:val="18"/>
                <w:szCs w:val="18"/>
              </w:rPr>
            </w:pPr>
            <w:r w:rsidRPr="00BB2306">
              <w:rPr>
                <w:rFonts w:cstheme="minorHAnsi"/>
                <w:sz w:val="18"/>
                <w:szCs w:val="18"/>
              </w:rPr>
              <w:t>Metres, walking distance</w:t>
            </w:r>
          </w:p>
          <w:p w14:paraId="31D0AB93" w14:textId="77777777" w:rsidR="009F2080" w:rsidRPr="00BB2306" w:rsidRDefault="009F2080" w:rsidP="00020B31">
            <w:pPr>
              <w:rPr>
                <w:rFonts w:cstheme="minorHAnsi"/>
                <w:sz w:val="18"/>
                <w:szCs w:val="18"/>
              </w:rPr>
            </w:pPr>
          </w:p>
          <w:p w14:paraId="2D52F83A" w14:textId="77777777" w:rsidR="009F2080" w:rsidRPr="00BB2306" w:rsidRDefault="009F2080" w:rsidP="00020B31">
            <w:pPr>
              <w:rPr>
                <w:rFonts w:cstheme="minorHAnsi"/>
                <w:sz w:val="18"/>
                <w:szCs w:val="18"/>
              </w:rPr>
            </w:pPr>
            <w:r w:rsidRPr="00BB2306">
              <w:rPr>
                <w:rFonts w:cstheme="minorHAnsi"/>
                <w:sz w:val="18"/>
                <w:szCs w:val="18"/>
              </w:rPr>
              <w:t>Integer (</w:t>
            </w:r>
            <w:r w:rsidRPr="00BB2306">
              <w:rPr>
                <w:rFonts w:ascii="Cambria Math" w:hAnsi="Cambria Math" w:cs="Cambria Math"/>
                <w:sz w:val="18"/>
                <w:szCs w:val="18"/>
              </w:rPr>
              <w:t>ℤ</w:t>
            </w:r>
            <w:r w:rsidRPr="00BB2306">
              <w:rPr>
                <w:rFonts w:cstheme="minorHAnsi"/>
                <w:sz w:val="18"/>
                <w:szCs w:val="18"/>
              </w:rPr>
              <w:t>)</w:t>
            </w:r>
          </w:p>
        </w:tc>
      </w:tr>
      <w:tr w:rsidR="009F2080" w14:paraId="202BDE60" w14:textId="77777777" w:rsidTr="00020B31">
        <w:tc>
          <w:tcPr>
            <w:tcW w:w="581" w:type="dxa"/>
          </w:tcPr>
          <w:p w14:paraId="00014142" w14:textId="77777777" w:rsidR="009F2080" w:rsidRPr="00BB2306" w:rsidRDefault="009F2080" w:rsidP="00020B31">
            <w:pPr>
              <w:rPr>
                <w:rFonts w:cstheme="minorHAnsi"/>
                <w:sz w:val="18"/>
                <w:szCs w:val="18"/>
              </w:rPr>
            </w:pPr>
            <w:r w:rsidRPr="00DD7F44">
              <w:rPr>
                <w:rFonts w:cstheme="minorHAnsi"/>
                <w:sz w:val="18"/>
                <w:szCs w:val="18"/>
              </w:rPr>
              <w:t>3.1.</w:t>
            </w:r>
            <w:r>
              <w:rPr>
                <w:rFonts w:cstheme="minorHAnsi"/>
                <w:sz w:val="18"/>
                <w:szCs w:val="18"/>
              </w:rPr>
              <w:t>3</w:t>
            </w:r>
          </w:p>
        </w:tc>
        <w:tc>
          <w:tcPr>
            <w:tcW w:w="1820" w:type="dxa"/>
          </w:tcPr>
          <w:p w14:paraId="4B31271D" w14:textId="77777777" w:rsidR="009F2080" w:rsidRPr="00BB2306" w:rsidRDefault="009F2080" w:rsidP="00020B31">
            <w:pPr>
              <w:rPr>
                <w:rFonts w:cstheme="minorHAnsi"/>
                <w:sz w:val="18"/>
                <w:szCs w:val="18"/>
              </w:rPr>
            </w:pPr>
            <w:r w:rsidRPr="00BB2306">
              <w:rPr>
                <w:rFonts w:cstheme="minorHAnsi"/>
                <w:sz w:val="18"/>
                <w:szCs w:val="18"/>
              </w:rPr>
              <w:t>entertainment facilities for sport and recreation</w:t>
            </w:r>
          </w:p>
        </w:tc>
        <w:tc>
          <w:tcPr>
            <w:tcW w:w="2362" w:type="dxa"/>
          </w:tcPr>
          <w:p w14:paraId="37B66ED6" w14:textId="77777777" w:rsidR="009F2080" w:rsidRPr="00BB2306" w:rsidRDefault="009F2080" w:rsidP="00020B31">
            <w:pPr>
              <w:rPr>
                <w:rFonts w:cstheme="minorHAnsi"/>
                <w:sz w:val="18"/>
                <w:szCs w:val="18"/>
              </w:rPr>
            </w:pPr>
            <w:r w:rsidRPr="00BB2306">
              <w:rPr>
                <w:rFonts w:cstheme="minorHAnsi"/>
                <w:sz w:val="18"/>
                <w:szCs w:val="18"/>
              </w:rPr>
              <w:t>Skateparks, swimming pools, sport fields, stadiums</w:t>
            </w:r>
          </w:p>
        </w:tc>
        <w:tc>
          <w:tcPr>
            <w:tcW w:w="2519" w:type="dxa"/>
          </w:tcPr>
          <w:p w14:paraId="6CC6CD46" w14:textId="77777777" w:rsidR="009F2080" w:rsidRPr="00BB2306" w:rsidRDefault="009F2080" w:rsidP="00020B31">
            <w:pPr>
              <w:rPr>
                <w:rFonts w:cstheme="minorHAnsi"/>
                <w:sz w:val="18"/>
                <w:szCs w:val="18"/>
              </w:rPr>
            </w:pPr>
            <w:r w:rsidRPr="00BB2306">
              <w:rPr>
                <w:rFonts w:cstheme="minorHAnsi"/>
                <w:sz w:val="18"/>
                <w:szCs w:val="18"/>
              </w:rPr>
              <w:t>Proximity to facility</w:t>
            </w:r>
          </w:p>
          <w:p w14:paraId="21BDE5DA" w14:textId="77777777" w:rsidR="009F2080" w:rsidRPr="00BB2306" w:rsidRDefault="009F2080" w:rsidP="00020B31">
            <w:pPr>
              <w:rPr>
                <w:rFonts w:cstheme="minorHAnsi"/>
                <w:sz w:val="18"/>
                <w:szCs w:val="18"/>
              </w:rPr>
            </w:pPr>
          </w:p>
          <w:p w14:paraId="0D279392" w14:textId="77777777" w:rsidR="009F2080" w:rsidRPr="00BB2306" w:rsidRDefault="009F2080" w:rsidP="00020B31">
            <w:pPr>
              <w:rPr>
                <w:rFonts w:cstheme="minorHAnsi"/>
                <w:sz w:val="18"/>
                <w:szCs w:val="18"/>
              </w:rPr>
            </w:pPr>
          </w:p>
          <w:p w14:paraId="4255046E" w14:textId="77777777" w:rsidR="009F2080" w:rsidRPr="00BB2306" w:rsidRDefault="009F2080" w:rsidP="00020B31">
            <w:pPr>
              <w:rPr>
                <w:rFonts w:cstheme="minorHAnsi"/>
                <w:sz w:val="18"/>
                <w:szCs w:val="18"/>
              </w:rPr>
            </w:pPr>
            <w:r w:rsidRPr="00BB2306">
              <w:rPr>
                <w:rFonts w:cstheme="minorHAnsi"/>
                <w:sz w:val="18"/>
                <w:szCs w:val="18"/>
              </w:rPr>
              <w:t>Number of facilities in area (radius to specify)</w:t>
            </w:r>
          </w:p>
        </w:tc>
        <w:tc>
          <w:tcPr>
            <w:tcW w:w="1734" w:type="dxa"/>
          </w:tcPr>
          <w:p w14:paraId="5297D93C" w14:textId="77777777" w:rsidR="009F2080" w:rsidRPr="00BB2306" w:rsidRDefault="009F2080" w:rsidP="00020B31">
            <w:pPr>
              <w:rPr>
                <w:rFonts w:cstheme="minorHAnsi"/>
                <w:sz w:val="18"/>
                <w:szCs w:val="18"/>
              </w:rPr>
            </w:pPr>
            <w:r w:rsidRPr="00BB2306">
              <w:rPr>
                <w:rFonts w:cstheme="minorHAnsi"/>
                <w:sz w:val="18"/>
                <w:szCs w:val="18"/>
              </w:rPr>
              <w:t>Metres, walking distance</w:t>
            </w:r>
          </w:p>
          <w:p w14:paraId="2675B481" w14:textId="77777777" w:rsidR="009F2080" w:rsidRPr="00BB2306" w:rsidRDefault="009F2080" w:rsidP="00020B31">
            <w:pPr>
              <w:rPr>
                <w:rFonts w:cstheme="minorHAnsi"/>
                <w:sz w:val="18"/>
                <w:szCs w:val="18"/>
              </w:rPr>
            </w:pPr>
          </w:p>
          <w:p w14:paraId="0C9A8D50" w14:textId="77777777" w:rsidR="009F2080" w:rsidRPr="00BB2306" w:rsidRDefault="009F2080" w:rsidP="00020B31">
            <w:pPr>
              <w:rPr>
                <w:rFonts w:cstheme="minorHAnsi"/>
                <w:sz w:val="18"/>
                <w:szCs w:val="18"/>
              </w:rPr>
            </w:pPr>
            <w:r w:rsidRPr="00BB2306">
              <w:rPr>
                <w:rFonts w:cstheme="minorHAnsi"/>
                <w:sz w:val="18"/>
                <w:szCs w:val="18"/>
              </w:rPr>
              <w:t>Integer (</w:t>
            </w:r>
            <w:r w:rsidRPr="00BB2306">
              <w:rPr>
                <w:rFonts w:ascii="Cambria Math" w:hAnsi="Cambria Math" w:cs="Cambria Math"/>
                <w:sz w:val="18"/>
                <w:szCs w:val="18"/>
              </w:rPr>
              <w:t>ℤ</w:t>
            </w:r>
            <w:r w:rsidRPr="00BB2306">
              <w:rPr>
                <w:rFonts w:cstheme="minorHAnsi"/>
                <w:sz w:val="18"/>
                <w:szCs w:val="18"/>
              </w:rPr>
              <w:t>)</w:t>
            </w:r>
          </w:p>
        </w:tc>
      </w:tr>
      <w:tr w:rsidR="009F2080" w14:paraId="4AC00E97" w14:textId="77777777" w:rsidTr="00020B31">
        <w:tc>
          <w:tcPr>
            <w:tcW w:w="581" w:type="dxa"/>
          </w:tcPr>
          <w:p w14:paraId="4DFED813" w14:textId="77777777" w:rsidR="009F2080" w:rsidRPr="00BB2306" w:rsidRDefault="009F2080" w:rsidP="00020B31">
            <w:pPr>
              <w:rPr>
                <w:rFonts w:cstheme="minorHAnsi"/>
                <w:sz w:val="18"/>
                <w:szCs w:val="18"/>
              </w:rPr>
            </w:pPr>
            <w:r w:rsidRPr="00DD7F44">
              <w:rPr>
                <w:rFonts w:cstheme="minorHAnsi"/>
                <w:sz w:val="18"/>
                <w:szCs w:val="18"/>
              </w:rPr>
              <w:t>3.1.</w:t>
            </w:r>
            <w:r>
              <w:rPr>
                <w:rFonts w:cstheme="minorHAnsi"/>
                <w:sz w:val="18"/>
                <w:szCs w:val="18"/>
              </w:rPr>
              <w:t>4</w:t>
            </w:r>
          </w:p>
        </w:tc>
        <w:tc>
          <w:tcPr>
            <w:tcW w:w="1820" w:type="dxa"/>
          </w:tcPr>
          <w:p w14:paraId="44B42A84" w14:textId="77777777" w:rsidR="009F2080" w:rsidRPr="00BB2306" w:rsidRDefault="009F2080" w:rsidP="00020B31">
            <w:pPr>
              <w:rPr>
                <w:rFonts w:cstheme="minorHAnsi"/>
                <w:sz w:val="18"/>
                <w:szCs w:val="18"/>
              </w:rPr>
            </w:pPr>
            <w:r w:rsidRPr="00BB2306">
              <w:rPr>
                <w:rFonts w:cstheme="minorHAnsi"/>
                <w:sz w:val="18"/>
                <w:szCs w:val="18"/>
              </w:rPr>
              <w:t xml:space="preserve">green areas </w:t>
            </w:r>
          </w:p>
        </w:tc>
        <w:tc>
          <w:tcPr>
            <w:tcW w:w="2362" w:type="dxa"/>
          </w:tcPr>
          <w:p w14:paraId="4ECFED15" w14:textId="77777777" w:rsidR="009F2080" w:rsidRPr="00BB2306" w:rsidRDefault="009F2080" w:rsidP="00020B31">
            <w:pPr>
              <w:rPr>
                <w:rFonts w:cstheme="minorHAnsi"/>
                <w:sz w:val="18"/>
                <w:szCs w:val="18"/>
              </w:rPr>
            </w:pPr>
            <w:r w:rsidRPr="00BB2306">
              <w:rPr>
                <w:rFonts w:cstheme="minorHAnsi"/>
                <w:sz w:val="18"/>
                <w:szCs w:val="18"/>
              </w:rPr>
              <w:t>public gardens, parks and public open spaces</w:t>
            </w:r>
          </w:p>
        </w:tc>
        <w:tc>
          <w:tcPr>
            <w:tcW w:w="2519" w:type="dxa"/>
          </w:tcPr>
          <w:p w14:paraId="19C72462" w14:textId="77777777" w:rsidR="009F2080" w:rsidRPr="00BB2306" w:rsidRDefault="009F2080" w:rsidP="00020B31">
            <w:pPr>
              <w:rPr>
                <w:rFonts w:cstheme="minorHAnsi"/>
                <w:sz w:val="18"/>
                <w:szCs w:val="18"/>
              </w:rPr>
            </w:pPr>
            <w:r w:rsidRPr="00BB2306">
              <w:rPr>
                <w:rFonts w:cstheme="minorHAnsi"/>
                <w:sz w:val="18"/>
                <w:szCs w:val="18"/>
              </w:rPr>
              <w:t>Proximity to facility</w:t>
            </w:r>
          </w:p>
          <w:p w14:paraId="07CB90B5" w14:textId="77777777" w:rsidR="009F2080" w:rsidRPr="00BB2306" w:rsidRDefault="009F2080" w:rsidP="00020B31">
            <w:pPr>
              <w:rPr>
                <w:rFonts w:cstheme="minorHAnsi"/>
                <w:sz w:val="18"/>
                <w:szCs w:val="18"/>
              </w:rPr>
            </w:pPr>
          </w:p>
          <w:p w14:paraId="277B1FB6" w14:textId="77777777" w:rsidR="009F2080" w:rsidRPr="00BB2306" w:rsidRDefault="009F2080" w:rsidP="00020B31">
            <w:pPr>
              <w:rPr>
                <w:rFonts w:cstheme="minorHAnsi"/>
                <w:sz w:val="18"/>
                <w:szCs w:val="18"/>
              </w:rPr>
            </w:pPr>
          </w:p>
          <w:p w14:paraId="397C462F" w14:textId="77777777" w:rsidR="009F2080" w:rsidRPr="00BB2306" w:rsidRDefault="009F2080" w:rsidP="00020B31">
            <w:pPr>
              <w:rPr>
                <w:rFonts w:cstheme="minorHAnsi"/>
                <w:sz w:val="18"/>
                <w:szCs w:val="18"/>
              </w:rPr>
            </w:pPr>
            <w:r w:rsidRPr="00BB2306">
              <w:rPr>
                <w:rFonts w:cstheme="minorHAnsi"/>
                <w:sz w:val="18"/>
                <w:szCs w:val="18"/>
              </w:rPr>
              <w:t>Number of facilities in area (radius to specify)</w:t>
            </w:r>
          </w:p>
          <w:p w14:paraId="6F9D5456" w14:textId="77777777" w:rsidR="009F2080" w:rsidRPr="00BB2306" w:rsidRDefault="009F2080" w:rsidP="00020B31">
            <w:pPr>
              <w:rPr>
                <w:rFonts w:cstheme="minorHAnsi"/>
                <w:sz w:val="18"/>
                <w:szCs w:val="18"/>
              </w:rPr>
            </w:pPr>
          </w:p>
          <w:p w14:paraId="01B94A3A" w14:textId="77777777" w:rsidR="009F2080" w:rsidRPr="00BB2306" w:rsidRDefault="009F2080" w:rsidP="00020B31">
            <w:pPr>
              <w:rPr>
                <w:rFonts w:cstheme="minorHAnsi"/>
                <w:sz w:val="18"/>
                <w:szCs w:val="18"/>
              </w:rPr>
            </w:pPr>
            <w:r w:rsidRPr="00BB2306">
              <w:rPr>
                <w:rFonts w:cstheme="minorHAnsi"/>
                <w:sz w:val="18"/>
                <w:szCs w:val="18"/>
              </w:rPr>
              <w:lastRenderedPageBreak/>
              <w:t>Extension of park (S/M/L)</w:t>
            </w:r>
          </w:p>
        </w:tc>
        <w:tc>
          <w:tcPr>
            <w:tcW w:w="1734" w:type="dxa"/>
          </w:tcPr>
          <w:p w14:paraId="3C614499" w14:textId="77777777" w:rsidR="009F2080" w:rsidRPr="00BB2306" w:rsidRDefault="009F2080" w:rsidP="00020B31">
            <w:pPr>
              <w:rPr>
                <w:rFonts w:cstheme="minorHAnsi"/>
                <w:sz w:val="18"/>
                <w:szCs w:val="18"/>
              </w:rPr>
            </w:pPr>
            <w:r w:rsidRPr="00BB2306">
              <w:rPr>
                <w:rFonts w:cstheme="minorHAnsi"/>
                <w:sz w:val="18"/>
                <w:szCs w:val="18"/>
              </w:rPr>
              <w:lastRenderedPageBreak/>
              <w:t>Metres, walking distance</w:t>
            </w:r>
          </w:p>
          <w:p w14:paraId="7A917DE5" w14:textId="77777777" w:rsidR="009F2080" w:rsidRPr="00BB2306" w:rsidRDefault="009F2080" w:rsidP="00020B31">
            <w:pPr>
              <w:rPr>
                <w:rFonts w:cstheme="minorHAnsi"/>
                <w:sz w:val="18"/>
                <w:szCs w:val="18"/>
              </w:rPr>
            </w:pPr>
          </w:p>
          <w:p w14:paraId="3A97A2A4" w14:textId="77777777" w:rsidR="009F2080" w:rsidRPr="00BB2306" w:rsidRDefault="009F2080" w:rsidP="00020B31">
            <w:pPr>
              <w:rPr>
                <w:rFonts w:cstheme="minorHAnsi"/>
                <w:sz w:val="18"/>
                <w:szCs w:val="18"/>
              </w:rPr>
            </w:pPr>
            <w:r w:rsidRPr="00BB2306">
              <w:rPr>
                <w:rFonts w:cstheme="minorHAnsi"/>
                <w:sz w:val="18"/>
                <w:szCs w:val="18"/>
              </w:rPr>
              <w:t>Integer (</w:t>
            </w:r>
            <w:r w:rsidRPr="00BB2306">
              <w:rPr>
                <w:rFonts w:ascii="Cambria Math" w:hAnsi="Cambria Math" w:cs="Cambria Math"/>
                <w:sz w:val="18"/>
                <w:szCs w:val="18"/>
              </w:rPr>
              <w:t>ℤ</w:t>
            </w:r>
            <w:r w:rsidRPr="00BB2306">
              <w:rPr>
                <w:rFonts w:cstheme="minorHAnsi"/>
                <w:sz w:val="18"/>
                <w:szCs w:val="18"/>
              </w:rPr>
              <w:t>)</w:t>
            </w:r>
          </w:p>
          <w:p w14:paraId="66474F82" w14:textId="77777777" w:rsidR="009F2080" w:rsidRPr="00BB2306" w:rsidRDefault="009F2080" w:rsidP="00020B31">
            <w:pPr>
              <w:rPr>
                <w:rFonts w:cstheme="minorHAnsi"/>
                <w:sz w:val="18"/>
                <w:szCs w:val="18"/>
              </w:rPr>
            </w:pPr>
          </w:p>
          <w:p w14:paraId="58C21793" w14:textId="77777777" w:rsidR="009F2080" w:rsidRPr="00BB2306" w:rsidRDefault="009F2080" w:rsidP="00020B31">
            <w:pPr>
              <w:rPr>
                <w:rFonts w:cstheme="minorHAnsi"/>
                <w:sz w:val="18"/>
                <w:szCs w:val="18"/>
              </w:rPr>
            </w:pPr>
          </w:p>
          <w:p w14:paraId="290F4B14" w14:textId="77777777" w:rsidR="009F2080" w:rsidRPr="00BB2306" w:rsidRDefault="009F2080" w:rsidP="00020B31">
            <w:pPr>
              <w:rPr>
                <w:rFonts w:cstheme="minorHAnsi"/>
                <w:sz w:val="18"/>
                <w:szCs w:val="18"/>
              </w:rPr>
            </w:pPr>
            <w:r w:rsidRPr="00BB2306">
              <w:rPr>
                <w:rFonts w:cstheme="minorHAnsi"/>
                <w:sz w:val="18"/>
                <w:szCs w:val="18"/>
              </w:rPr>
              <w:lastRenderedPageBreak/>
              <w:t xml:space="preserve">Area </w:t>
            </w:r>
          </w:p>
        </w:tc>
      </w:tr>
    </w:tbl>
    <w:p w14:paraId="75868C9F" w14:textId="10AC6829" w:rsidR="009A15DF" w:rsidRDefault="009A15DF" w:rsidP="009A15DF">
      <w:r>
        <w:lastRenderedPageBreak/>
        <w:t xml:space="preserve">Table </w:t>
      </w:r>
      <w:r>
        <w:t>3</w:t>
      </w:r>
    </w:p>
    <w:p w14:paraId="1B557F95" w14:textId="4899164E" w:rsidR="009F2080" w:rsidRDefault="009F2080" w:rsidP="009F2080"/>
    <w:p w14:paraId="33F99630" w14:textId="77777777" w:rsidR="000D71B4" w:rsidRDefault="000D71B4" w:rsidP="009F2080"/>
    <w:p w14:paraId="3A0C3A57" w14:textId="77777777" w:rsidR="009F2080" w:rsidRDefault="009F2080" w:rsidP="009F2080">
      <w:pPr>
        <w:pStyle w:val="Heading2"/>
      </w:pPr>
      <w:r>
        <w:t>Summary</w:t>
      </w:r>
    </w:p>
    <w:p w14:paraId="0226F2D3" w14:textId="77777777" w:rsidR="009F2080" w:rsidRDefault="009F2080" w:rsidP="009F2080"/>
    <w:p w14:paraId="2B3E4C9D" w14:textId="77777777" w:rsidR="009F2080" w:rsidRDefault="009F2080" w:rsidP="009F2080">
      <w:pPr>
        <w:rPr>
          <w:rFonts w:ascii="Cambria Math" w:hAnsi="Cambria Math" w:cs="Cambria Math"/>
          <w:sz w:val="18"/>
          <w:szCs w:val="18"/>
        </w:rPr>
      </w:pPr>
      <w:r w:rsidRPr="00BB2306">
        <w:rPr>
          <w:rFonts w:ascii="Cambria Math" w:hAnsi="Cambria Math" w:cs="Cambria Math"/>
          <w:sz w:val="18"/>
          <w:szCs w:val="18"/>
        </w:rPr>
        <w:t>ℤ</w:t>
      </w:r>
      <w:r>
        <w:rPr>
          <w:rFonts w:ascii="Cambria Math" w:hAnsi="Cambria Math" w:cs="Cambria Math"/>
          <w:sz w:val="18"/>
          <w:szCs w:val="18"/>
        </w:rPr>
        <w:t xml:space="preserve"> = Integer value 1-10</w:t>
      </w:r>
    </w:p>
    <w:p w14:paraId="100DF337" w14:textId="77777777" w:rsidR="009F2080" w:rsidRDefault="009F2080" w:rsidP="009F2080">
      <w:pPr>
        <w:rPr>
          <w:sz w:val="18"/>
          <w:szCs w:val="18"/>
        </w:rPr>
      </w:pPr>
      <w:r w:rsidRPr="00287539">
        <w:rPr>
          <w:sz w:val="18"/>
          <w:szCs w:val="18"/>
        </w:rPr>
        <w:t>m</w:t>
      </w:r>
      <w:r w:rsidRPr="00287539">
        <w:rPr>
          <w:sz w:val="18"/>
          <w:szCs w:val="18"/>
          <w:vertAlign w:val="superscript"/>
        </w:rPr>
        <w:t>2</w:t>
      </w:r>
      <w:r>
        <w:rPr>
          <w:sz w:val="18"/>
          <w:szCs w:val="18"/>
          <w:vertAlign w:val="superscript"/>
        </w:rPr>
        <w:t xml:space="preserve"> </w:t>
      </w:r>
      <w:r w:rsidRPr="00CC2D81">
        <w:rPr>
          <w:sz w:val="18"/>
          <w:szCs w:val="18"/>
        </w:rPr>
        <w:t>=squared metre</w:t>
      </w:r>
    </w:p>
    <w:p w14:paraId="023836BD" w14:textId="77777777" w:rsidR="009F2080" w:rsidRDefault="009F2080" w:rsidP="009F2080">
      <w:pPr>
        <w:rPr>
          <w:rFonts w:ascii="Cambria Math" w:hAnsi="Cambria Math" w:cs="Cambria Math"/>
          <w:sz w:val="18"/>
          <w:szCs w:val="18"/>
        </w:rPr>
      </w:pPr>
      <w:r>
        <w:rPr>
          <w:sz w:val="18"/>
          <w:szCs w:val="18"/>
        </w:rPr>
        <w:t>£ = cost in GBP</w:t>
      </w:r>
    </w:p>
    <w:p w14:paraId="41989527" w14:textId="77777777" w:rsidR="009F2080" w:rsidRDefault="009F2080" w:rsidP="009F2080"/>
    <w:tbl>
      <w:tblPr>
        <w:tblStyle w:val="TableGrid"/>
        <w:tblW w:w="0" w:type="auto"/>
        <w:tblLook w:val="04A0" w:firstRow="1" w:lastRow="0" w:firstColumn="1" w:lastColumn="0" w:noHBand="0" w:noVBand="1"/>
      </w:tblPr>
      <w:tblGrid>
        <w:gridCol w:w="672"/>
        <w:gridCol w:w="1710"/>
        <w:gridCol w:w="1866"/>
        <w:gridCol w:w="2026"/>
        <w:gridCol w:w="2321"/>
        <w:gridCol w:w="421"/>
      </w:tblGrid>
      <w:tr w:rsidR="009F2080" w14:paraId="30FF94EF" w14:textId="77777777" w:rsidTr="00020B31">
        <w:tc>
          <w:tcPr>
            <w:tcW w:w="672" w:type="dxa"/>
            <w:shd w:val="clear" w:color="auto" w:fill="4472C4" w:themeFill="accent1"/>
          </w:tcPr>
          <w:p w14:paraId="159EBE42" w14:textId="77777777" w:rsidR="009F2080" w:rsidRDefault="009F2080" w:rsidP="00020B31">
            <w:pPr>
              <w:rPr>
                <w:b/>
                <w:bCs/>
              </w:rPr>
            </w:pPr>
          </w:p>
        </w:tc>
        <w:tc>
          <w:tcPr>
            <w:tcW w:w="1710" w:type="dxa"/>
            <w:shd w:val="clear" w:color="auto" w:fill="4472C4" w:themeFill="accent1"/>
          </w:tcPr>
          <w:p w14:paraId="05F5A03B" w14:textId="77777777" w:rsidR="009F2080" w:rsidRPr="00FF52F5" w:rsidRDefault="009F2080" w:rsidP="00020B31">
            <w:pPr>
              <w:rPr>
                <w:b/>
                <w:bCs/>
              </w:rPr>
            </w:pPr>
            <w:r>
              <w:rPr>
                <w:b/>
                <w:bCs/>
              </w:rPr>
              <w:t>F</w:t>
            </w:r>
            <w:r w:rsidRPr="00FF52F5">
              <w:rPr>
                <w:b/>
                <w:bCs/>
              </w:rPr>
              <w:t>eature</w:t>
            </w:r>
          </w:p>
        </w:tc>
        <w:tc>
          <w:tcPr>
            <w:tcW w:w="1866" w:type="dxa"/>
            <w:shd w:val="clear" w:color="auto" w:fill="4472C4" w:themeFill="accent1"/>
          </w:tcPr>
          <w:p w14:paraId="3B109807" w14:textId="77777777" w:rsidR="009F2080" w:rsidRPr="00FF52F5" w:rsidRDefault="009F2080" w:rsidP="00020B31">
            <w:pPr>
              <w:rPr>
                <w:b/>
                <w:bCs/>
              </w:rPr>
            </w:pPr>
            <w:r w:rsidRPr="00FF52F5">
              <w:rPr>
                <w:b/>
                <w:bCs/>
              </w:rPr>
              <w:t>Example</w:t>
            </w:r>
          </w:p>
        </w:tc>
        <w:tc>
          <w:tcPr>
            <w:tcW w:w="2026" w:type="dxa"/>
            <w:shd w:val="clear" w:color="auto" w:fill="4472C4" w:themeFill="accent1"/>
          </w:tcPr>
          <w:p w14:paraId="06A51EE9" w14:textId="77777777" w:rsidR="009F2080" w:rsidRPr="00FF52F5" w:rsidRDefault="009F2080" w:rsidP="00020B31">
            <w:pPr>
              <w:rPr>
                <w:b/>
                <w:bCs/>
              </w:rPr>
            </w:pPr>
            <w:r w:rsidRPr="00FF52F5">
              <w:rPr>
                <w:b/>
                <w:bCs/>
              </w:rPr>
              <w:t>Design criterion</w:t>
            </w:r>
          </w:p>
        </w:tc>
        <w:tc>
          <w:tcPr>
            <w:tcW w:w="2321" w:type="dxa"/>
            <w:shd w:val="clear" w:color="auto" w:fill="4472C4" w:themeFill="accent1"/>
          </w:tcPr>
          <w:p w14:paraId="079F865F" w14:textId="77777777" w:rsidR="009F2080" w:rsidRPr="00FF52F5" w:rsidRDefault="009F2080" w:rsidP="00020B31">
            <w:pPr>
              <w:rPr>
                <w:b/>
                <w:bCs/>
              </w:rPr>
            </w:pPr>
            <w:r w:rsidRPr="00FF52F5">
              <w:rPr>
                <w:b/>
                <w:bCs/>
              </w:rPr>
              <w:t>measure</w:t>
            </w:r>
          </w:p>
        </w:tc>
        <w:tc>
          <w:tcPr>
            <w:tcW w:w="421" w:type="dxa"/>
            <w:shd w:val="clear" w:color="auto" w:fill="4472C4" w:themeFill="accent1"/>
          </w:tcPr>
          <w:p w14:paraId="0DF2A70F" w14:textId="77777777" w:rsidR="009F2080" w:rsidRPr="00FF52F5" w:rsidRDefault="009F2080" w:rsidP="00020B31">
            <w:pPr>
              <w:rPr>
                <w:b/>
                <w:bCs/>
              </w:rPr>
            </w:pPr>
          </w:p>
        </w:tc>
      </w:tr>
      <w:tr w:rsidR="009F2080" w14:paraId="4A49A3E8" w14:textId="77777777" w:rsidTr="00020B31">
        <w:tc>
          <w:tcPr>
            <w:tcW w:w="672" w:type="dxa"/>
          </w:tcPr>
          <w:p w14:paraId="58016E4A" w14:textId="77777777" w:rsidR="009F2080" w:rsidRDefault="009F2080" w:rsidP="00020B31">
            <w:pPr>
              <w:tabs>
                <w:tab w:val="left" w:pos="2408"/>
              </w:tabs>
              <w:rPr>
                <w:b/>
                <w:bCs/>
                <w:sz w:val="18"/>
                <w:szCs w:val="18"/>
              </w:rPr>
            </w:pPr>
          </w:p>
        </w:tc>
        <w:tc>
          <w:tcPr>
            <w:tcW w:w="7923" w:type="dxa"/>
            <w:gridSpan w:val="4"/>
            <w:shd w:val="clear" w:color="auto" w:fill="auto"/>
          </w:tcPr>
          <w:p w14:paraId="49F0E213" w14:textId="77777777" w:rsidR="009F2080" w:rsidRPr="00776914" w:rsidRDefault="009F2080" w:rsidP="00020B31">
            <w:pPr>
              <w:tabs>
                <w:tab w:val="left" w:pos="2408"/>
              </w:tabs>
              <w:rPr>
                <w:b/>
                <w:bCs/>
                <w:sz w:val="18"/>
                <w:szCs w:val="18"/>
              </w:rPr>
            </w:pPr>
            <w:r>
              <w:rPr>
                <w:b/>
                <w:bCs/>
                <w:sz w:val="18"/>
                <w:szCs w:val="18"/>
              </w:rPr>
              <w:tab/>
            </w:r>
            <w:r w:rsidRPr="00024FA9">
              <w:rPr>
                <w:b/>
                <w:bCs/>
                <w:sz w:val="18"/>
                <w:szCs w:val="18"/>
              </w:rPr>
              <w:t>Dataset 1: social aspirations of communities</w:t>
            </w:r>
          </w:p>
        </w:tc>
        <w:tc>
          <w:tcPr>
            <w:tcW w:w="421" w:type="dxa"/>
          </w:tcPr>
          <w:p w14:paraId="391DE0E6" w14:textId="77777777" w:rsidR="009F2080" w:rsidRDefault="009F2080" w:rsidP="00020B31">
            <w:pPr>
              <w:tabs>
                <w:tab w:val="left" w:pos="2408"/>
              </w:tabs>
              <w:rPr>
                <w:b/>
                <w:bCs/>
                <w:sz w:val="18"/>
                <w:szCs w:val="18"/>
              </w:rPr>
            </w:pPr>
          </w:p>
        </w:tc>
      </w:tr>
      <w:tr w:rsidR="009F2080" w14:paraId="5EBA38FE" w14:textId="77777777" w:rsidTr="00020B31">
        <w:tc>
          <w:tcPr>
            <w:tcW w:w="672" w:type="dxa"/>
          </w:tcPr>
          <w:p w14:paraId="0621D8A5" w14:textId="77777777" w:rsidR="009F2080" w:rsidRDefault="009F2080" w:rsidP="00020B31">
            <w:pPr>
              <w:rPr>
                <w:sz w:val="18"/>
                <w:szCs w:val="18"/>
              </w:rPr>
            </w:pPr>
            <w:r w:rsidRPr="00024FA9">
              <w:rPr>
                <w:sz w:val="18"/>
                <w:szCs w:val="18"/>
              </w:rPr>
              <w:t>1</w:t>
            </w:r>
            <w:r>
              <w:rPr>
                <w:sz w:val="18"/>
                <w:szCs w:val="18"/>
              </w:rPr>
              <w:t>.1.2</w:t>
            </w:r>
          </w:p>
          <w:p w14:paraId="5B80F1DB" w14:textId="77777777" w:rsidR="009F2080" w:rsidRDefault="009F2080" w:rsidP="00020B31">
            <w:pPr>
              <w:rPr>
                <w:sz w:val="18"/>
                <w:szCs w:val="18"/>
              </w:rPr>
            </w:pPr>
            <w:r>
              <w:rPr>
                <w:sz w:val="18"/>
                <w:szCs w:val="18"/>
              </w:rPr>
              <w:t>+</w:t>
            </w:r>
          </w:p>
          <w:p w14:paraId="7CCB3612" w14:textId="77777777" w:rsidR="009F2080" w:rsidRPr="00024FA9" w:rsidRDefault="009F2080" w:rsidP="00020B31">
            <w:pPr>
              <w:rPr>
                <w:sz w:val="18"/>
                <w:szCs w:val="18"/>
              </w:rPr>
            </w:pPr>
            <w:r>
              <w:rPr>
                <w:sz w:val="18"/>
                <w:szCs w:val="18"/>
              </w:rPr>
              <w:t>1.1.8</w:t>
            </w:r>
          </w:p>
        </w:tc>
        <w:tc>
          <w:tcPr>
            <w:tcW w:w="1710" w:type="dxa"/>
            <w:shd w:val="clear" w:color="auto" w:fill="auto"/>
          </w:tcPr>
          <w:p w14:paraId="1AE656BD" w14:textId="77777777" w:rsidR="009F2080" w:rsidRDefault="009F2080" w:rsidP="00020B31">
            <w:pPr>
              <w:rPr>
                <w:sz w:val="18"/>
                <w:szCs w:val="18"/>
              </w:rPr>
            </w:pPr>
            <w:r w:rsidRPr="00024FA9">
              <w:rPr>
                <w:sz w:val="18"/>
                <w:szCs w:val="18"/>
              </w:rPr>
              <w:t>Meet up in person</w:t>
            </w:r>
          </w:p>
          <w:p w14:paraId="119A506D" w14:textId="77777777" w:rsidR="009F2080" w:rsidRDefault="009F2080" w:rsidP="00020B31">
            <w:pPr>
              <w:rPr>
                <w:sz w:val="18"/>
                <w:szCs w:val="18"/>
              </w:rPr>
            </w:pPr>
            <w:r>
              <w:rPr>
                <w:sz w:val="18"/>
                <w:szCs w:val="18"/>
              </w:rPr>
              <w:t>+</w:t>
            </w:r>
          </w:p>
          <w:p w14:paraId="680C2F2D" w14:textId="77777777" w:rsidR="009F2080" w:rsidRPr="00891B90" w:rsidRDefault="009F2080" w:rsidP="00020B31">
            <w:pPr>
              <w:rPr>
                <w:sz w:val="18"/>
                <w:szCs w:val="18"/>
              </w:rPr>
            </w:pPr>
            <w:r w:rsidRPr="00024FA9">
              <w:rPr>
                <w:sz w:val="18"/>
                <w:szCs w:val="18"/>
              </w:rPr>
              <w:t>Chatting to neighbours</w:t>
            </w:r>
          </w:p>
        </w:tc>
        <w:tc>
          <w:tcPr>
            <w:tcW w:w="1866" w:type="dxa"/>
            <w:shd w:val="clear" w:color="auto" w:fill="auto"/>
          </w:tcPr>
          <w:p w14:paraId="367AB96D" w14:textId="77777777" w:rsidR="009F2080" w:rsidRPr="00405F06" w:rsidRDefault="009F2080" w:rsidP="00020B31">
            <w:pPr>
              <w:rPr>
                <w:sz w:val="18"/>
                <w:szCs w:val="18"/>
              </w:rPr>
            </w:pPr>
          </w:p>
        </w:tc>
        <w:tc>
          <w:tcPr>
            <w:tcW w:w="2026" w:type="dxa"/>
            <w:shd w:val="clear" w:color="auto" w:fill="auto"/>
          </w:tcPr>
          <w:p w14:paraId="1D28498A" w14:textId="77777777" w:rsidR="009F2080" w:rsidRPr="00405F06" w:rsidRDefault="009F2080" w:rsidP="00020B31">
            <w:pPr>
              <w:rPr>
                <w:sz w:val="18"/>
                <w:szCs w:val="18"/>
              </w:rPr>
            </w:pPr>
            <w:r w:rsidRPr="00405F06">
              <w:rPr>
                <w:sz w:val="18"/>
                <w:szCs w:val="18"/>
              </w:rPr>
              <w:t>Spaces that are conducive to meeting and interaction</w:t>
            </w:r>
          </w:p>
        </w:tc>
        <w:tc>
          <w:tcPr>
            <w:tcW w:w="2321" w:type="dxa"/>
            <w:shd w:val="clear" w:color="auto" w:fill="auto"/>
          </w:tcPr>
          <w:p w14:paraId="2D99FCCA" w14:textId="77777777" w:rsidR="009F2080" w:rsidRPr="00405F06" w:rsidRDefault="009F2080" w:rsidP="00020B31">
            <w:pPr>
              <w:rPr>
                <w:sz w:val="18"/>
                <w:szCs w:val="18"/>
              </w:rPr>
            </w:pPr>
            <w:r w:rsidRPr="00405F06">
              <w:rPr>
                <w:sz w:val="18"/>
                <w:szCs w:val="18"/>
              </w:rPr>
              <w:t>Area of spaces for interaction</w:t>
            </w:r>
          </w:p>
        </w:tc>
        <w:tc>
          <w:tcPr>
            <w:tcW w:w="421" w:type="dxa"/>
          </w:tcPr>
          <w:p w14:paraId="07839A11" w14:textId="77777777" w:rsidR="009F2080" w:rsidRPr="00405F06" w:rsidRDefault="009F2080" w:rsidP="00020B31">
            <w:pPr>
              <w:rPr>
                <w:sz w:val="18"/>
                <w:szCs w:val="18"/>
              </w:rPr>
            </w:pPr>
            <w:r w:rsidRPr="00287539">
              <w:rPr>
                <w:sz w:val="18"/>
                <w:szCs w:val="18"/>
              </w:rPr>
              <w:t>m</w:t>
            </w:r>
            <w:r w:rsidRPr="00287539">
              <w:rPr>
                <w:sz w:val="18"/>
                <w:szCs w:val="18"/>
                <w:vertAlign w:val="superscript"/>
              </w:rPr>
              <w:t>2</w:t>
            </w:r>
          </w:p>
        </w:tc>
      </w:tr>
      <w:tr w:rsidR="009F2080" w14:paraId="33FEF7EC" w14:textId="77777777" w:rsidTr="00020B31">
        <w:tc>
          <w:tcPr>
            <w:tcW w:w="672" w:type="dxa"/>
          </w:tcPr>
          <w:p w14:paraId="292958AB" w14:textId="77777777" w:rsidR="009F2080" w:rsidRDefault="009F2080" w:rsidP="00020B31">
            <w:pPr>
              <w:rPr>
                <w:sz w:val="18"/>
                <w:szCs w:val="18"/>
              </w:rPr>
            </w:pPr>
            <w:r>
              <w:rPr>
                <w:sz w:val="18"/>
                <w:szCs w:val="18"/>
              </w:rPr>
              <w:t>1.1.4</w:t>
            </w:r>
          </w:p>
          <w:p w14:paraId="323B5D48" w14:textId="77777777" w:rsidR="009F2080" w:rsidRDefault="009F2080" w:rsidP="00020B31">
            <w:pPr>
              <w:rPr>
                <w:sz w:val="18"/>
                <w:szCs w:val="18"/>
              </w:rPr>
            </w:pPr>
            <w:r w:rsidRPr="003E7E0C">
              <w:rPr>
                <w:sz w:val="18"/>
                <w:szCs w:val="18"/>
              </w:rPr>
              <w:t>1.2.</w:t>
            </w:r>
            <w:r>
              <w:rPr>
                <w:sz w:val="18"/>
                <w:szCs w:val="18"/>
              </w:rPr>
              <w:t>6</w:t>
            </w:r>
          </w:p>
          <w:p w14:paraId="2A765FBC" w14:textId="77777777" w:rsidR="009F2080" w:rsidRDefault="009F2080" w:rsidP="00020B31">
            <w:pPr>
              <w:rPr>
                <w:sz w:val="18"/>
                <w:szCs w:val="18"/>
              </w:rPr>
            </w:pPr>
            <w:r>
              <w:rPr>
                <w:sz w:val="18"/>
                <w:szCs w:val="18"/>
              </w:rPr>
              <w:t>+</w:t>
            </w:r>
          </w:p>
          <w:p w14:paraId="1A437B34" w14:textId="77777777" w:rsidR="009F2080" w:rsidRDefault="009F2080" w:rsidP="00020B31">
            <w:pPr>
              <w:rPr>
                <w:sz w:val="18"/>
                <w:szCs w:val="18"/>
              </w:rPr>
            </w:pPr>
            <w:r>
              <w:rPr>
                <w:sz w:val="18"/>
                <w:szCs w:val="18"/>
              </w:rPr>
              <w:t>1.1.7</w:t>
            </w:r>
          </w:p>
          <w:p w14:paraId="29DA2D71" w14:textId="77777777" w:rsidR="009F2080" w:rsidRPr="001E5D51" w:rsidRDefault="009F2080" w:rsidP="00020B31">
            <w:pPr>
              <w:rPr>
                <w:sz w:val="18"/>
                <w:szCs w:val="18"/>
              </w:rPr>
            </w:pPr>
            <w:r w:rsidRPr="00B32291">
              <w:rPr>
                <w:sz w:val="18"/>
                <w:szCs w:val="18"/>
              </w:rPr>
              <w:t>2.2.</w:t>
            </w:r>
            <w:r>
              <w:rPr>
                <w:sz w:val="18"/>
                <w:szCs w:val="18"/>
              </w:rPr>
              <w:t>7</w:t>
            </w:r>
          </w:p>
        </w:tc>
        <w:tc>
          <w:tcPr>
            <w:tcW w:w="1710" w:type="dxa"/>
            <w:shd w:val="clear" w:color="auto" w:fill="auto"/>
          </w:tcPr>
          <w:p w14:paraId="320E20B1" w14:textId="77777777" w:rsidR="009F2080" w:rsidRDefault="009F2080" w:rsidP="00020B31">
            <w:pPr>
              <w:rPr>
                <w:sz w:val="18"/>
                <w:szCs w:val="18"/>
              </w:rPr>
            </w:pPr>
            <w:r w:rsidRPr="00024FA9">
              <w:rPr>
                <w:sz w:val="18"/>
                <w:szCs w:val="18"/>
              </w:rPr>
              <w:t xml:space="preserve">Support network </w:t>
            </w:r>
          </w:p>
          <w:p w14:paraId="6308FB91" w14:textId="77777777" w:rsidR="009F2080" w:rsidRDefault="009F2080" w:rsidP="00020B31">
            <w:pPr>
              <w:rPr>
                <w:sz w:val="18"/>
                <w:szCs w:val="18"/>
              </w:rPr>
            </w:pPr>
            <w:r>
              <w:rPr>
                <w:sz w:val="18"/>
                <w:szCs w:val="18"/>
              </w:rPr>
              <w:t>+</w:t>
            </w:r>
          </w:p>
          <w:p w14:paraId="6AA7DEA3" w14:textId="77777777" w:rsidR="009F2080" w:rsidRPr="00024FA9" w:rsidRDefault="009F2080" w:rsidP="00020B31">
            <w:pPr>
              <w:rPr>
                <w:sz w:val="18"/>
                <w:szCs w:val="18"/>
              </w:rPr>
            </w:pPr>
            <w:r w:rsidRPr="00024FA9">
              <w:rPr>
                <w:sz w:val="18"/>
                <w:szCs w:val="18"/>
              </w:rPr>
              <w:t>Local area and people from different</w:t>
            </w:r>
          </w:p>
          <w:p w14:paraId="451501CF" w14:textId="77777777" w:rsidR="009F2080" w:rsidRPr="00776914" w:rsidRDefault="009F2080" w:rsidP="00020B31">
            <w:pPr>
              <w:rPr>
                <w:b/>
                <w:bCs/>
                <w:sz w:val="18"/>
                <w:szCs w:val="18"/>
              </w:rPr>
            </w:pPr>
            <w:r w:rsidRPr="00024FA9">
              <w:rPr>
                <w:sz w:val="18"/>
                <w:szCs w:val="18"/>
              </w:rPr>
              <w:t>backgrounds getting on well together</w:t>
            </w:r>
          </w:p>
        </w:tc>
        <w:tc>
          <w:tcPr>
            <w:tcW w:w="1866" w:type="dxa"/>
            <w:shd w:val="clear" w:color="auto" w:fill="auto"/>
          </w:tcPr>
          <w:p w14:paraId="51F33FEF" w14:textId="77777777" w:rsidR="009F2080" w:rsidRPr="00405F06" w:rsidRDefault="009F2080" w:rsidP="00020B31">
            <w:pPr>
              <w:rPr>
                <w:sz w:val="18"/>
                <w:szCs w:val="18"/>
              </w:rPr>
            </w:pPr>
          </w:p>
        </w:tc>
        <w:tc>
          <w:tcPr>
            <w:tcW w:w="2026" w:type="dxa"/>
            <w:shd w:val="clear" w:color="auto" w:fill="auto"/>
          </w:tcPr>
          <w:p w14:paraId="7BE89694" w14:textId="77777777" w:rsidR="009F2080" w:rsidRPr="00405F06" w:rsidRDefault="009F2080" w:rsidP="00020B31">
            <w:pPr>
              <w:rPr>
                <w:sz w:val="18"/>
                <w:szCs w:val="18"/>
              </w:rPr>
            </w:pPr>
            <w:r>
              <w:rPr>
                <w:sz w:val="18"/>
                <w:szCs w:val="18"/>
              </w:rPr>
              <w:t>Areas that facilitate interaction and communication at neighbourhood level</w:t>
            </w:r>
          </w:p>
        </w:tc>
        <w:tc>
          <w:tcPr>
            <w:tcW w:w="2321" w:type="dxa"/>
            <w:shd w:val="clear" w:color="auto" w:fill="auto"/>
          </w:tcPr>
          <w:p w14:paraId="24E5950B" w14:textId="77777777" w:rsidR="009F2080" w:rsidRPr="00405F06" w:rsidRDefault="009F2080" w:rsidP="00020B31">
            <w:pPr>
              <w:rPr>
                <w:sz w:val="18"/>
                <w:szCs w:val="18"/>
              </w:rPr>
            </w:pPr>
            <w:r w:rsidRPr="00405F06">
              <w:rPr>
                <w:sz w:val="18"/>
                <w:szCs w:val="18"/>
              </w:rPr>
              <w:t>Area of spaces for interaction</w:t>
            </w:r>
          </w:p>
        </w:tc>
        <w:tc>
          <w:tcPr>
            <w:tcW w:w="421" w:type="dxa"/>
          </w:tcPr>
          <w:p w14:paraId="1693826B" w14:textId="77777777" w:rsidR="009F2080" w:rsidRPr="00405F06" w:rsidRDefault="009F2080" w:rsidP="00020B31">
            <w:pPr>
              <w:rPr>
                <w:sz w:val="18"/>
                <w:szCs w:val="18"/>
              </w:rPr>
            </w:pPr>
            <w:r w:rsidRPr="00287539">
              <w:rPr>
                <w:sz w:val="18"/>
                <w:szCs w:val="18"/>
              </w:rPr>
              <w:t>m</w:t>
            </w:r>
            <w:r w:rsidRPr="00287539">
              <w:rPr>
                <w:sz w:val="18"/>
                <w:szCs w:val="18"/>
                <w:vertAlign w:val="superscript"/>
              </w:rPr>
              <w:t>2</w:t>
            </w:r>
          </w:p>
        </w:tc>
      </w:tr>
      <w:tr w:rsidR="009F2080" w14:paraId="1E21041A" w14:textId="77777777" w:rsidTr="00020B31">
        <w:tc>
          <w:tcPr>
            <w:tcW w:w="672" w:type="dxa"/>
          </w:tcPr>
          <w:p w14:paraId="5779E349" w14:textId="77777777" w:rsidR="009F2080" w:rsidRDefault="009F2080" w:rsidP="00020B31">
            <w:pPr>
              <w:rPr>
                <w:sz w:val="18"/>
                <w:szCs w:val="18"/>
              </w:rPr>
            </w:pPr>
            <w:r w:rsidRPr="00AC016D">
              <w:rPr>
                <w:sz w:val="18"/>
                <w:szCs w:val="18"/>
              </w:rPr>
              <w:t>1</w:t>
            </w:r>
            <w:r>
              <w:rPr>
                <w:sz w:val="18"/>
                <w:szCs w:val="18"/>
              </w:rPr>
              <w:t>.2.1</w:t>
            </w:r>
          </w:p>
          <w:p w14:paraId="7A115D74" w14:textId="77777777" w:rsidR="009F2080" w:rsidRDefault="009F2080" w:rsidP="00020B31">
            <w:pPr>
              <w:rPr>
                <w:sz w:val="18"/>
                <w:szCs w:val="18"/>
              </w:rPr>
            </w:pPr>
            <w:r w:rsidRPr="00287DA3">
              <w:rPr>
                <w:sz w:val="18"/>
                <w:szCs w:val="18"/>
              </w:rPr>
              <w:t>1.2.</w:t>
            </w:r>
            <w:r>
              <w:rPr>
                <w:sz w:val="18"/>
                <w:szCs w:val="18"/>
              </w:rPr>
              <w:t>2</w:t>
            </w:r>
          </w:p>
          <w:p w14:paraId="073B279A" w14:textId="77777777" w:rsidR="009F2080" w:rsidRDefault="009F2080" w:rsidP="00020B31">
            <w:pPr>
              <w:rPr>
                <w:sz w:val="18"/>
                <w:szCs w:val="18"/>
              </w:rPr>
            </w:pPr>
            <w:r w:rsidRPr="00287DA3">
              <w:rPr>
                <w:sz w:val="18"/>
                <w:szCs w:val="18"/>
              </w:rPr>
              <w:t>1.2.</w:t>
            </w:r>
            <w:r>
              <w:rPr>
                <w:sz w:val="18"/>
                <w:szCs w:val="18"/>
              </w:rPr>
              <w:t>3</w:t>
            </w:r>
          </w:p>
          <w:p w14:paraId="036AE730" w14:textId="77777777" w:rsidR="009F2080" w:rsidRDefault="009F2080" w:rsidP="00020B31">
            <w:pPr>
              <w:rPr>
                <w:sz w:val="18"/>
                <w:szCs w:val="18"/>
              </w:rPr>
            </w:pPr>
            <w:r w:rsidRPr="003E7E0C">
              <w:rPr>
                <w:sz w:val="18"/>
                <w:szCs w:val="18"/>
              </w:rPr>
              <w:t>1.2.</w:t>
            </w:r>
            <w:r>
              <w:rPr>
                <w:sz w:val="18"/>
                <w:szCs w:val="18"/>
              </w:rPr>
              <w:t>7</w:t>
            </w:r>
          </w:p>
          <w:p w14:paraId="3733BE4E" w14:textId="77777777" w:rsidR="009F2080" w:rsidRDefault="009F2080" w:rsidP="00020B31">
            <w:pPr>
              <w:rPr>
                <w:sz w:val="18"/>
                <w:szCs w:val="18"/>
              </w:rPr>
            </w:pPr>
            <w:r>
              <w:rPr>
                <w:sz w:val="18"/>
                <w:szCs w:val="18"/>
              </w:rPr>
              <w:t>2.2.1</w:t>
            </w:r>
          </w:p>
          <w:p w14:paraId="57189412" w14:textId="77777777" w:rsidR="009F2080" w:rsidRPr="00776914" w:rsidRDefault="009F2080" w:rsidP="00020B31">
            <w:pPr>
              <w:rPr>
                <w:b/>
                <w:bCs/>
                <w:sz w:val="18"/>
                <w:szCs w:val="18"/>
              </w:rPr>
            </w:pPr>
            <w:r w:rsidRPr="00287DA3">
              <w:rPr>
                <w:sz w:val="18"/>
                <w:szCs w:val="18"/>
              </w:rPr>
              <w:t>1.2.</w:t>
            </w:r>
            <w:r>
              <w:rPr>
                <w:sz w:val="18"/>
                <w:szCs w:val="18"/>
              </w:rPr>
              <w:t>4</w:t>
            </w:r>
          </w:p>
        </w:tc>
        <w:tc>
          <w:tcPr>
            <w:tcW w:w="1710" w:type="dxa"/>
            <w:shd w:val="clear" w:color="auto" w:fill="auto"/>
          </w:tcPr>
          <w:p w14:paraId="64F5594B" w14:textId="77777777" w:rsidR="009F2080" w:rsidRPr="00776914" w:rsidRDefault="009F2080" w:rsidP="00020B31">
            <w:pPr>
              <w:rPr>
                <w:b/>
                <w:bCs/>
                <w:sz w:val="18"/>
                <w:szCs w:val="18"/>
              </w:rPr>
            </w:pPr>
            <w:r>
              <w:rPr>
                <w:sz w:val="18"/>
                <w:szCs w:val="18"/>
              </w:rPr>
              <w:t>Rent affordability and accessibility</w:t>
            </w:r>
          </w:p>
        </w:tc>
        <w:tc>
          <w:tcPr>
            <w:tcW w:w="1866" w:type="dxa"/>
            <w:shd w:val="clear" w:color="auto" w:fill="auto"/>
          </w:tcPr>
          <w:p w14:paraId="336F7B85" w14:textId="77777777" w:rsidR="009F2080" w:rsidRPr="00405F06" w:rsidRDefault="009F2080" w:rsidP="00020B31">
            <w:pPr>
              <w:rPr>
                <w:sz w:val="18"/>
                <w:szCs w:val="18"/>
              </w:rPr>
            </w:pPr>
            <w:r w:rsidRPr="00405F06">
              <w:rPr>
                <w:sz w:val="18"/>
                <w:szCs w:val="18"/>
              </w:rPr>
              <w:t>Younger, lower-income and disabled Londoners, as well as recent migrants to London, are more likely to be renting</w:t>
            </w:r>
          </w:p>
        </w:tc>
        <w:tc>
          <w:tcPr>
            <w:tcW w:w="2026" w:type="dxa"/>
            <w:shd w:val="clear" w:color="auto" w:fill="auto"/>
          </w:tcPr>
          <w:p w14:paraId="56E27F06" w14:textId="77777777" w:rsidR="009F2080" w:rsidRPr="00405F06" w:rsidRDefault="009F2080" w:rsidP="00020B31">
            <w:pPr>
              <w:rPr>
                <w:sz w:val="18"/>
                <w:szCs w:val="18"/>
              </w:rPr>
            </w:pPr>
            <w:r>
              <w:rPr>
                <w:sz w:val="18"/>
                <w:szCs w:val="18"/>
              </w:rPr>
              <w:t>Cost per sqm</w:t>
            </w:r>
          </w:p>
        </w:tc>
        <w:tc>
          <w:tcPr>
            <w:tcW w:w="2321" w:type="dxa"/>
            <w:shd w:val="clear" w:color="auto" w:fill="auto"/>
          </w:tcPr>
          <w:p w14:paraId="4A2FDDA0" w14:textId="77777777" w:rsidR="009F2080" w:rsidRDefault="009F2080" w:rsidP="00020B31">
            <w:pPr>
              <w:rPr>
                <w:sz w:val="18"/>
                <w:szCs w:val="18"/>
              </w:rPr>
            </w:pPr>
            <w:r>
              <w:rPr>
                <w:sz w:val="18"/>
                <w:szCs w:val="18"/>
              </w:rPr>
              <w:t>Construction/design/</w:t>
            </w:r>
          </w:p>
          <w:p w14:paraId="295611CD" w14:textId="77777777" w:rsidR="009F2080" w:rsidRPr="00405F06" w:rsidRDefault="009F2080" w:rsidP="00020B31">
            <w:pPr>
              <w:rPr>
                <w:sz w:val="18"/>
                <w:szCs w:val="18"/>
              </w:rPr>
            </w:pPr>
            <w:r>
              <w:rPr>
                <w:sz w:val="18"/>
                <w:szCs w:val="18"/>
              </w:rPr>
              <w:t xml:space="preserve">maintenance cost </w:t>
            </w:r>
          </w:p>
        </w:tc>
        <w:tc>
          <w:tcPr>
            <w:tcW w:w="421" w:type="dxa"/>
          </w:tcPr>
          <w:p w14:paraId="65F5B4AB" w14:textId="77777777" w:rsidR="009F2080" w:rsidRPr="00405F06" w:rsidRDefault="009F2080" w:rsidP="00020B31">
            <w:pPr>
              <w:rPr>
                <w:sz w:val="18"/>
                <w:szCs w:val="18"/>
              </w:rPr>
            </w:pPr>
            <w:r>
              <w:rPr>
                <w:sz w:val="18"/>
                <w:szCs w:val="18"/>
              </w:rPr>
              <w:t>£</w:t>
            </w:r>
          </w:p>
        </w:tc>
      </w:tr>
      <w:tr w:rsidR="009F2080" w:rsidRPr="006228E4" w14:paraId="18A6306A" w14:textId="77777777" w:rsidTr="00020B31">
        <w:tc>
          <w:tcPr>
            <w:tcW w:w="672" w:type="dxa"/>
          </w:tcPr>
          <w:p w14:paraId="73A71636" w14:textId="77777777" w:rsidR="009F2080" w:rsidRDefault="009F2080" w:rsidP="00020B31">
            <w:pPr>
              <w:rPr>
                <w:sz w:val="18"/>
                <w:szCs w:val="18"/>
              </w:rPr>
            </w:pPr>
            <w:r w:rsidRPr="00287DA3">
              <w:rPr>
                <w:sz w:val="18"/>
                <w:szCs w:val="18"/>
              </w:rPr>
              <w:t>1.2.</w:t>
            </w:r>
            <w:r>
              <w:rPr>
                <w:sz w:val="18"/>
                <w:szCs w:val="18"/>
              </w:rPr>
              <w:t>5</w:t>
            </w:r>
          </w:p>
          <w:p w14:paraId="6C0BFB5E" w14:textId="77777777" w:rsidR="009F2080" w:rsidRPr="00776914" w:rsidRDefault="009F2080" w:rsidP="00020B31">
            <w:pPr>
              <w:rPr>
                <w:b/>
                <w:bCs/>
                <w:sz w:val="18"/>
                <w:szCs w:val="18"/>
              </w:rPr>
            </w:pPr>
            <w:r w:rsidRPr="00B32291">
              <w:rPr>
                <w:sz w:val="18"/>
                <w:szCs w:val="18"/>
              </w:rPr>
              <w:t>2.2.</w:t>
            </w:r>
            <w:r>
              <w:rPr>
                <w:sz w:val="18"/>
                <w:szCs w:val="18"/>
              </w:rPr>
              <w:t>2</w:t>
            </w:r>
          </w:p>
        </w:tc>
        <w:tc>
          <w:tcPr>
            <w:tcW w:w="1710" w:type="dxa"/>
            <w:shd w:val="clear" w:color="auto" w:fill="auto"/>
          </w:tcPr>
          <w:p w14:paraId="22B738C4" w14:textId="77777777" w:rsidR="009F2080" w:rsidRPr="00776914" w:rsidRDefault="009F2080" w:rsidP="00020B31">
            <w:pPr>
              <w:rPr>
                <w:b/>
                <w:bCs/>
                <w:sz w:val="18"/>
                <w:szCs w:val="18"/>
              </w:rPr>
            </w:pPr>
            <w:r w:rsidRPr="00AC016D">
              <w:rPr>
                <w:sz w:val="18"/>
                <w:szCs w:val="18"/>
              </w:rPr>
              <w:t>Overcrowding</w:t>
            </w:r>
          </w:p>
        </w:tc>
        <w:tc>
          <w:tcPr>
            <w:tcW w:w="1866" w:type="dxa"/>
            <w:shd w:val="clear" w:color="auto" w:fill="auto"/>
          </w:tcPr>
          <w:p w14:paraId="6A09752B" w14:textId="77777777" w:rsidR="009F2080" w:rsidRPr="00405F06" w:rsidRDefault="009F2080" w:rsidP="00020B31">
            <w:pPr>
              <w:rPr>
                <w:sz w:val="18"/>
                <w:szCs w:val="18"/>
              </w:rPr>
            </w:pPr>
          </w:p>
        </w:tc>
        <w:tc>
          <w:tcPr>
            <w:tcW w:w="2026" w:type="dxa"/>
            <w:shd w:val="clear" w:color="auto" w:fill="auto"/>
          </w:tcPr>
          <w:p w14:paraId="07E0D4C8" w14:textId="77777777" w:rsidR="009F2080" w:rsidRPr="00405F06" w:rsidRDefault="009F2080" w:rsidP="00020B31">
            <w:pPr>
              <w:rPr>
                <w:sz w:val="18"/>
                <w:szCs w:val="18"/>
              </w:rPr>
            </w:pPr>
            <w:r>
              <w:rPr>
                <w:sz w:val="18"/>
                <w:szCs w:val="18"/>
              </w:rPr>
              <w:t>Avoid overcrowding and control habitant/sqm ratio</w:t>
            </w:r>
          </w:p>
        </w:tc>
        <w:tc>
          <w:tcPr>
            <w:tcW w:w="2321" w:type="dxa"/>
            <w:shd w:val="clear" w:color="auto" w:fill="auto"/>
          </w:tcPr>
          <w:p w14:paraId="574FAE2F" w14:textId="77777777" w:rsidR="009F2080" w:rsidRPr="006228E4" w:rsidRDefault="009F2080" w:rsidP="00020B31">
            <w:pPr>
              <w:rPr>
                <w:sz w:val="18"/>
                <w:szCs w:val="18"/>
                <w:lang w:val="es-ES"/>
              </w:rPr>
            </w:pPr>
            <w:r w:rsidRPr="006228E4">
              <w:rPr>
                <w:sz w:val="18"/>
                <w:szCs w:val="18"/>
                <w:lang w:val="es-ES"/>
              </w:rPr>
              <w:t xml:space="preserve">area per </w:t>
            </w:r>
            <w:r>
              <w:rPr>
                <w:sz w:val="18"/>
                <w:szCs w:val="18"/>
                <w:lang w:val="es-ES"/>
              </w:rPr>
              <w:t>resident</w:t>
            </w:r>
          </w:p>
        </w:tc>
        <w:tc>
          <w:tcPr>
            <w:tcW w:w="421" w:type="dxa"/>
          </w:tcPr>
          <w:p w14:paraId="26DA1D63" w14:textId="77777777" w:rsidR="009F2080" w:rsidRPr="006228E4" w:rsidRDefault="009F2080" w:rsidP="00020B31">
            <w:pPr>
              <w:rPr>
                <w:sz w:val="18"/>
                <w:szCs w:val="18"/>
                <w:lang w:val="es-ES"/>
              </w:rPr>
            </w:pPr>
            <w:r w:rsidRPr="00287539">
              <w:rPr>
                <w:sz w:val="18"/>
                <w:szCs w:val="18"/>
              </w:rPr>
              <w:t>m</w:t>
            </w:r>
            <w:r w:rsidRPr="00287539">
              <w:rPr>
                <w:sz w:val="18"/>
                <w:szCs w:val="18"/>
                <w:vertAlign w:val="superscript"/>
              </w:rPr>
              <w:t>2</w:t>
            </w:r>
          </w:p>
        </w:tc>
      </w:tr>
      <w:tr w:rsidR="009F2080" w14:paraId="0827EABD" w14:textId="77777777" w:rsidTr="00020B31">
        <w:tc>
          <w:tcPr>
            <w:tcW w:w="672" w:type="dxa"/>
          </w:tcPr>
          <w:p w14:paraId="3A9C16FE" w14:textId="77777777" w:rsidR="009F2080" w:rsidRDefault="009F2080" w:rsidP="00020B31">
            <w:pPr>
              <w:rPr>
                <w:sz w:val="18"/>
                <w:szCs w:val="18"/>
              </w:rPr>
            </w:pPr>
            <w:r w:rsidRPr="003E7E0C">
              <w:rPr>
                <w:sz w:val="18"/>
                <w:szCs w:val="18"/>
              </w:rPr>
              <w:t>1.2.</w:t>
            </w:r>
            <w:r>
              <w:rPr>
                <w:sz w:val="18"/>
                <w:szCs w:val="18"/>
              </w:rPr>
              <w:t>8</w:t>
            </w:r>
          </w:p>
          <w:p w14:paraId="112AE8DD" w14:textId="77777777" w:rsidR="009F2080" w:rsidRPr="00776914" w:rsidRDefault="009F2080" w:rsidP="00020B31">
            <w:pPr>
              <w:rPr>
                <w:b/>
                <w:bCs/>
                <w:sz w:val="18"/>
                <w:szCs w:val="18"/>
              </w:rPr>
            </w:pPr>
            <w:r w:rsidRPr="00B32291">
              <w:rPr>
                <w:sz w:val="18"/>
                <w:szCs w:val="18"/>
              </w:rPr>
              <w:t>2.2.</w:t>
            </w:r>
            <w:r>
              <w:rPr>
                <w:sz w:val="18"/>
                <w:szCs w:val="18"/>
              </w:rPr>
              <w:t>3</w:t>
            </w:r>
          </w:p>
        </w:tc>
        <w:tc>
          <w:tcPr>
            <w:tcW w:w="1710" w:type="dxa"/>
            <w:shd w:val="clear" w:color="auto" w:fill="auto"/>
          </w:tcPr>
          <w:p w14:paraId="363430EA" w14:textId="77777777" w:rsidR="009F2080" w:rsidRPr="00776914" w:rsidRDefault="009F2080" w:rsidP="00020B31">
            <w:pPr>
              <w:rPr>
                <w:b/>
                <w:bCs/>
                <w:sz w:val="18"/>
                <w:szCs w:val="18"/>
              </w:rPr>
            </w:pPr>
            <w:r w:rsidRPr="00AC016D">
              <w:rPr>
                <w:sz w:val="18"/>
                <w:szCs w:val="18"/>
              </w:rPr>
              <w:t>Built environment</w:t>
            </w:r>
          </w:p>
        </w:tc>
        <w:tc>
          <w:tcPr>
            <w:tcW w:w="1866" w:type="dxa"/>
            <w:shd w:val="clear" w:color="auto" w:fill="auto"/>
          </w:tcPr>
          <w:p w14:paraId="0B45578E" w14:textId="77777777" w:rsidR="009F2080" w:rsidRPr="00405F06" w:rsidRDefault="009F2080" w:rsidP="00020B31">
            <w:pPr>
              <w:rPr>
                <w:sz w:val="18"/>
                <w:szCs w:val="18"/>
              </w:rPr>
            </w:pPr>
            <w:r w:rsidRPr="00405F06">
              <w:rPr>
                <w:sz w:val="18"/>
                <w:szCs w:val="18"/>
              </w:rPr>
              <w:t>Accessibility for disable and older people</w:t>
            </w:r>
          </w:p>
        </w:tc>
        <w:tc>
          <w:tcPr>
            <w:tcW w:w="2026" w:type="dxa"/>
            <w:shd w:val="clear" w:color="auto" w:fill="auto"/>
          </w:tcPr>
          <w:p w14:paraId="7E3C8E31" w14:textId="77777777" w:rsidR="009F2080" w:rsidRDefault="009F2080" w:rsidP="00020B31">
            <w:pPr>
              <w:rPr>
                <w:sz w:val="18"/>
                <w:szCs w:val="18"/>
              </w:rPr>
            </w:pPr>
            <w:r>
              <w:rPr>
                <w:sz w:val="18"/>
                <w:szCs w:val="18"/>
              </w:rPr>
              <w:t>Measured against Document M (UK Building regs)</w:t>
            </w:r>
          </w:p>
          <w:p w14:paraId="7427E310" w14:textId="77777777" w:rsidR="009F2080" w:rsidRDefault="009F2080" w:rsidP="00020B31">
            <w:pPr>
              <w:rPr>
                <w:sz w:val="18"/>
                <w:szCs w:val="18"/>
              </w:rPr>
            </w:pPr>
          </w:p>
          <w:p w14:paraId="393EC0FE" w14:textId="77777777" w:rsidR="009F2080" w:rsidRPr="00405F06" w:rsidRDefault="009F2080" w:rsidP="00020B31">
            <w:pPr>
              <w:rPr>
                <w:sz w:val="18"/>
                <w:szCs w:val="18"/>
              </w:rPr>
            </w:pPr>
            <w:r>
              <w:rPr>
                <w:sz w:val="18"/>
                <w:szCs w:val="18"/>
              </w:rPr>
              <w:t>Based on designer intention</w:t>
            </w:r>
          </w:p>
        </w:tc>
        <w:tc>
          <w:tcPr>
            <w:tcW w:w="2321" w:type="dxa"/>
            <w:shd w:val="clear" w:color="auto" w:fill="auto"/>
          </w:tcPr>
          <w:p w14:paraId="377EA492" w14:textId="77777777" w:rsidR="009F2080" w:rsidRPr="00405F06" w:rsidRDefault="009F2080" w:rsidP="00020B31">
            <w:pPr>
              <w:rPr>
                <w:sz w:val="18"/>
                <w:szCs w:val="18"/>
              </w:rPr>
            </w:pPr>
            <w:r>
              <w:rPr>
                <w:sz w:val="18"/>
                <w:szCs w:val="18"/>
              </w:rPr>
              <w:t>Value range 1-10</w:t>
            </w:r>
          </w:p>
        </w:tc>
        <w:tc>
          <w:tcPr>
            <w:tcW w:w="421" w:type="dxa"/>
          </w:tcPr>
          <w:p w14:paraId="107C35C8" w14:textId="77777777" w:rsidR="009F2080" w:rsidRPr="00405F06" w:rsidRDefault="009F2080" w:rsidP="00020B31">
            <w:pPr>
              <w:rPr>
                <w:sz w:val="18"/>
                <w:szCs w:val="18"/>
              </w:rPr>
            </w:pPr>
            <w:r w:rsidRPr="00BB2306">
              <w:rPr>
                <w:rFonts w:ascii="Cambria Math" w:hAnsi="Cambria Math" w:cs="Cambria Math"/>
                <w:sz w:val="18"/>
                <w:szCs w:val="18"/>
              </w:rPr>
              <w:t>ℤ</w:t>
            </w:r>
          </w:p>
        </w:tc>
      </w:tr>
      <w:tr w:rsidR="009F2080" w14:paraId="56875326" w14:textId="77777777" w:rsidTr="00020B31">
        <w:tc>
          <w:tcPr>
            <w:tcW w:w="672" w:type="dxa"/>
          </w:tcPr>
          <w:p w14:paraId="7E650729" w14:textId="77777777" w:rsidR="009F2080" w:rsidRDefault="009F2080" w:rsidP="00020B31">
            <w:pPr>
              <w:rPr>
                <w:sz w:val="18"/>
                <w:szCs w:val="18"/>
              </w:rPr>
            </w:pPr>
            <w:r w:rsidRPr="003227CB">
              <w:rPr>
                <w:sz w:val="18"/>
                <w:szCs w:val="18"/>
              </w:rPr>
              <w:t>1.3.</w:t>
            </w:r>
            <w:r>
              <w:rPr>
                <w:sz w:val="18"/>
                <w:szCs w:val="18"/>
              </w:rPr>
              <w:t>3</w:t>
            </w:r>
          </w:p>
          <w:p w14:paraId="04D09A12" w14:textId="77777777" w:rsidR="009F2080" w:rsidRDefault="009F2080" w:rsidP="00020B31">
            <w:pPr>
              <w:rPr>
                <w:b/>
                <w:bCs/>
                <w:sz w:val="18"/>
                <w:szCs w:val="18"/>
              </w:rPr>
            </w:pPr>
            <w:r>
              <w:rPr>
                <w:b/>
                <w:bCs/>
                <w:sz w:val="18"/>
                <w:szCs w:val="18"/>
              </w:rPr>
              <w:t>+</w:t>
            </w:r>
          </w:p>
          <w:p w14:paraId="51B366DA" w14:textId="77777777" w:rsidR="009F2080" w:rsidRPr="00776914" w:rsidRDefault="009F2080" w:rsidP="00020B31">
            <w:pPr>
              <w:rPr>
                <w:b/>
                <w:bCs/>
                <w:sz w:val="18"/>
                <w:szCs w:val="18"/>
              </w:rPr>
            </w:pPr>
            <w:r w:rsidRPr="008F7E1A">
              <w:rPr>
                <w:rFonts w:cstheme="minorHAnsi"/>
                <w:sz w:val="18"/>
                <w:szCs w:val="18"/>
              </w:rPr>
              <w:t>2.3.</w:t>
            </w:r>
            <w:r>
              <w:rPr>
                <w:rFonts w:cstheme="minorHAnsi"/>
                <w:sz w:val="18"/>
                <w:szCs w:val="18"/>
              </w:rPr>
              <w:t>2</w:t>
            </w:r>
          </w:p>
        </w:tc>
        <w:tc>
          <w:tcPr>
            <w:tcW w:w="1710" w:type="dxa"/>
            <w:shd w:val="clear" w:color="auto" w:fill="auto"/>
          </w:tcPr>
          <w:p w14:paraId="6A7D8984" w14:textId="77777777" w:rsidR="009F2080" w:rsidRPr="00776914" w:rsidRDefault="009F2080" w:rsidP="00020B31">
            <w:pPr>
              <w:rPr>
                <w:b/>
                <w:bCs/>
                <w:sz w:val="18"/>
                <w:szCs w:val="18"/>
              </w:rPr>
            </w:pPr>
            <w:r w:rsidRPr="00A16777">
              <w:rPr>
                <w:sz w:val="18"/>
                <w:szCs w:val="18"/>
              </w:rPr>
              <w:t>equality of opportunity</w:t>
            </w:r>
            <w:r>
              <w:rPr>
                <w:sz w:val="18"/>
                <w:szCs w:val="18"/>
              </w:rPr>
              <w:t xml:space="preserve"> (young people)</w:t>
            </w:r>
          </w:p>
        </w:tc>
        <w:tc>
          <w:tcPr>
            <w:tcW w:w="1866" w:type="dxa"/>
            <w:shd w:val="clear" w:color="auto" w:fill="auto"/>
          </w:tcPr>
          <w:p w14:paraId="6D11825D" w14:textId="77777777" w:rsidR="009F2080" w:rsidRPr="00DF592F" w:rsidRDefault="009F2080" w:rsidP="00020B31">
            <w:pPr>
              <w:rPr>
                <w:sz w:val="18"/>
                <w:szCs w:val="18"/>
              </w:rPr>
            </w:pPr>
          </w:p>
        </w:tc>
        <w:tc>
          <w:tcPr>
            <w:tcW w:w="2026" w:type="dxa"/>
            <w:shd w:val="clear" w:color="auto" w:fill="auto"/>
          </w:tcPr>
          <w:p w14:paraId="53C31BD3" w14:textId="77777777" w:rsidR="009F2080" w:rsidRPr="003A0A65" w:rsidRDefault="009F2080" w:rsidP="00020B31">
            <w:pPr>
              <w:rPr>
                <w:sz w:val="18"/>
                <w:szCs w:val="18"/>
              </w:rPr>
            </w:pPr>
            <w:r w:rsidRPr="00F503A7">
              <w:rPr>
                <w:sz w:val="18"/>
                <w:szCs w:val="18"/>
                <w:highlight w:val="yellow"/>
              </w:rPr>
              <w:t>Expressed in terms of access to high-quality housing irrespective of cost</w:t>
            </w:r>
          </w:p>
        </w:tc>
        <w:tc>
          <w:tcPr>
            <w:tcW w:w="2321" w:type="dxa"/>
            <w:shd w:val="clear" w:color="auto" w:fill="auto"/>
          </w:tcPr>
          <w:p w14:paraId="7F0F592C" w14:textId="77777777" w:rsidR="009F2080" w:rsidRPr="00776914" w:rsidRDefault="009F2080" w:rsidP="00020B31">
            <w:pPr>
              <w:rPr>
                <w:b/>
                <w:bCs/>
                <w:sz w:val="18"/>
                <w:szCs w:val="18"/>
              </w:rPr>
            </w:pPr>
            <w:r>
              <w:rPr>
                <w:sz w:val="18"/>
                <w:szCs w:val="18"/>
              </w:rPr>
              <w:t>Value range 1-10</w:t>
            </w:r>
          </w:p>
        </w:tc>
        <w:tc>
          <w:tcPr>
            <w:tcW w:w="421" w:type="dxa"/>
          </w:tcPr>
          <w:p w14:paraId="0ADCDFEE"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2EB0E73E" w14:textId="77777777" w:rsidTr="00020B31">
        <w:tc>
          <w:tcPr>
            <w:tcW w:w="672" w:type="dxa"/>
          </w:tcPr>
          <w:p w14:paraId="208DC0A8" w14:textId="77777777" w:rsidR="009F2080" w:rsidRPr="00776914" w:rsidRDefault="009F2080" w:rsidP="00020B31">
            <w:pPr>
              <w:rPr>
                <w:b/>
                <w:bCs/>
                <w:sz w:val="18"/>
                <w:szCs w:val="18"/>
              </w:rPr>
            </w:pPr>
            <w:r w:rsidRPr="003227CB">
              <w:rPr>
                <w:sz w:val="18"/>
                <w:szCs w:val="18"/>
              </w:rPr>
              <w:t>1.3.</w:t>
            </w:r>
            <w:r>
              <w:rPr>
                <w:sz w:val="18"/>
                <w:szCs w:val="18"/>
              </w:rPr>
              <w:t>2</w:t>
            </w:r>
          </w:p>
        </w:tc>
        <w:tc>
          <w:tcPr>
            <w:tcW w:w="1710" w:type="dxa"/>
            <w:shd w:val="clear" w:color="auto" w:fill="auto"/>
          </w:tcPr>
          <w:p w14:paraId="7924BD6D" w14:textId="77777777" w:rsidR="009F2080" w:rsidRPr="00776914" w:rsidRDefault="009F2080" w:rsidP="00020B31">
            <w:pPr>
              <w:rPr>
                <w:b/>
                <w:bCs/>
                <w:sz w:val="18"/>
                <w:szCs w:val="18"/>
              </w:rPr>
            </w:pPr>
            <w:r w:rsidRPr="00A16777">
              <w:rPr>
                <w:sz w:val="18"/>
                <w:szCs w:val="18"/>
              </w:rPr>
              <w:t>tolerance and</w:t>
            </w:r>
            <w:r>
              <w:rPr>
                <w:sz w:val="18"/>
                <w:szCs w:val="18"/>
              </w:rPr>
              <w:t xml:space="preserve"> </w:t>
            </w:r>
            <w:r w:rsidRPr="00A16777">
              <w:rPr>
                <w:sz w:val="18"/>
                <w:szCs w:val="18"/>
              </w:rPr>
              <w:t>politeness towards</w:t>
            </w:r>
            <w:r>
              <w:rPr>
                <w:sz w:val="18"/>
                <w:szCs w:val="18"/>
              </w:rPr>
              <w:t xml:space="preserve"> </w:t>
            </w:r>
            <w:r w:rsidRPr="00A16777">
              <w:rPr>
                <w:sz w:val="18"/>
                <w:szCs w:val="18"/>
              </w:rPr>
              <w:t>others</w:t>
            </w:r>
          </w:p>
        </w:tc>
        <w:tc>
          <w:tcPr>
            <w:tcW w:w="1866" w:type="dxa"/>
            <w:shd w:val="clear" w:color="auto" w:fill="auto"/>
          </w:tcPr>
          <w:p w14:paraId="1183FAFB" w14:textId="77777777" w:rsidR="009F2080" w:rsidRPr="00DF592F" w:rsidRDefault="009F2080" w:rsidP="00020B31">
            <w:pPr>
              <w:rPr>
                <w:sz w:val="18"/>
                <w:szCs w:val="18"/>
              </w:rPr>
            </w:pPr>
          </w:p>
        </w:tc>
        <w:tc>
          <w:tcPr>
            <w:tcW w:w="2026" w:type="dxa"/>
            <w:shd w:val="clear" w:color="auto" w:fill="auto"/>
          </w:tcPr>
          <w:p w14:paraId="0F4036BE" w14:textId="77777777" w:rsidR="009F2080" w:rsidRPr="003A0A65" w:rsidRDefault="009F2080" w:rsidP="00020B31">
            <w:pPr>
              <w:rPr>
                <w:sz w:val="18"/>
                <w:szCs w:val="18"/>
              </w:rPr>
            </w:pPr>
            <w:r w:rsidRPr="003A0A65">
              <w:rPr>
                <w:sz w:val="18"/>
                <w:szCs w:val="18"/>
              </w:rPr>
              <w:t>Expressed in terms of shared space in development</w:t>
            </w:r>
          </w:p>
        </w:tc>
        <w:tc>
          <w:tcPr>
            <w:tcW w:w="2321" w:type="dxa"/>
            <w:shd w:val="clear" w:color="auto" w:fill="auto"/>
          </w:tcPr>
          <w:p w14:paraId="2D80DC69" w14:textId="77777777" w:rsidR="009F2080" w:rsidRPr="00776914" w:rsidRDefault="009F2080" w:rsidP="00020B31">
            <w:pPr>
              <w:rPr>
                <w:b/>
                <w:bCs/>
                <w:sz w:val="18"/>
                <w:szCs w:val="18"/>
              </w:rPr>
            </w:pPr>
            <w:r w:rsidRPr="00405F06">
              <w:rPr>
                <w:sz w:val="18"/>
                <w:szCs w:val="18"/>
              </w:rPr>
              <w:t xml:space="preserve">Area of </w:t>
            </w:r>
            <w:r>
              <w:rPr>
                <w:sz w:val="18"/>
                <w:szCs w:val="18"/>
              </w:rPr>
              <w:t xml:space="preserve">shared </w:t>
            </w:r>
            <w:r w:rsidRPr="00405F06">
              <w:rPr>
                <w:sz w:val="18"/>
                <w:szCs w:val="18"/>
              </w:rPr>
              <w:t>spaces</w:t>
            </w:r>
          </w:p>
        </w:tc>
        <w:tc>
          <w:tcPr>
            <w:tcW w:w="421" w:type="dxa"/>
          </w:tcPr>
          <w:p w14:paraId="43946343" w14:textId="77777777" w:rsidR="009F2080" w:rsidRPr="00776914" w:rsidRDefault="009F2080" w:rsidP="00020B31">
            <w:pPr>
              <w:rPr>
                <w:b/>
                <w:bCs/>
                <w:sz w:val="18"/>
                <w:szCs w:val="18"/>
              </w:rPr>
            </w:pPr>
            <w:r w:rsidRPr="00287539">
              <w:rPr>
                <w:sz w:val="18"/>
                <w:szCs w:val="18"/>
              </w:rPr>
              <w:t>m</w:t>
            </w:r>
            <w:r w:rsidRPr="00287539">
              <w:rPr>
                <w:sz w:val="18"/>
                <w:szCs w:val="18"/>
                <w:vertAlign w:val="superscript"/>
              </w:rPr>
              <w:t>2</w:t>
            </w:r>
          </w:p>
        </w:tc>
      </w:tr>
      <w:tr w:rsidR="009F2080" w14:paraId="0CE237DF" w14:textId="77777777" w:rsidTr="00020B31">
        <w:tc>
          <w:tcPr>
            <w:tcW w:w="672" w:type="dxa"/>
          </w:tcPr>
          <w:p w14:paraId="53A4108F" w14:textId="77777777" w:rsidR="009F2080" w:rsidRDefault="009F2080" w:rsidP="00020B31">
            <w:pPr>
              <w:rPr>
                <w:sz w:val="18"/>
                <w:szCs w:val="18"/>
              </w:rPr>
            </w:pPr>
            <w:r w:rsidRPr="003227CB">
              <w:rPr>
                <w:sz w:val="18"/>
                <w:szCs w:val="18"/>
              </w:rPr>
              <w:t>1.3.</w:t>
            </w:r>
            <w:r>
              <w:rPr>
                <w:sz w:val="18"/>
                <w:szCs w:val="18"/>
              </w:rPr>
              <w:t>5</w:t>
            </w:r>
          </w:p>
          <w:p w14:paraId="581C3263" w14:textId="77777777" w:rsidR="009F2080" w:rsidRDefault="009F2080" w:rsidP="00020B31">
            <w:pPr>
              <w:rPr>
                <w:b/>
                <w:bCs/>
                <w:sz w:val="18"/>
                <w:szCs w:val="18"/>
              </w:rPr>
            </w:pPr>
            <w:r>
              <w:rPr>
                <w:b/>
                <w:bCs/>
                <w:sz w:val="18"/>
                <w:szCs w:val="18"/>
              </w:rPr>
              <w:t>+</w:t>
            </w:r>
          </w:p>
          <w:p w14:paraId="4CC5E425" w14:textId="77777777" w:rsidR="009F2080" w:rsidRPr="00776914" w:rsidRDefault="009F2080" w:rsidP="00020B31">
            <w:pPr>
              <w:rPr>
                <w:b/>
                <w:bCs/>
                <w:sz w:val="18"/>
                <w:szCs w:val="18"/>
              </w:rPr>
            </w:pPr>
            <w:r>
              <w:rPr>
                <w:rFonts w:cstheme="minorHAnsi"/>
                <w:sz w:val="18"/>
                <w:szCs w:val="18"/>
              </w:rPr>
              <w:t>2.3.1</w:t>
            </w:r>
          </w:p>
        </w:tc>
        <w:tc>
          <w:tcPr>
            <w:tcW w:w="1710" w:type="dxa"/>
            <w:shd w:val="clear" w:color="auto" w:fill="auto"/>
          </w:tcPr>
          <w:p w14:paraId="5ECE33A9" w14:textId="77777777" w:rsidR="009F2080" w:rsidRPr="00A16777" w:rsidRDefault="009F2080" w:rsidP="00020B31">
            <w:pPr>
              <w:rPr>
                <w:sz w:val="18"/>
                <w:szCs w:val="18"/>
              </w:rPr>
            </w:pPr>
            <w:r w:rsidRPr="00A16777">
              <w:rPr>
                <w:sz w:val="18"/>
                <w:szCs w:val="18"/>
              </w:rPr>
              <w:t>Respect for people</w:t>
            </w:r>
          </w:p>
          <w:p w14:paraId="27A0BA88" w14:textId="77777777" w:rsidR="009F2080" w:rsidRDefault="009F2080" w:rsidP="00020B31">
            <w:pPr>
              <w:rPr>
                <w:sz w:val="18"/>
                <w:szCs w:val="18"/>
              </w:rPr>
            </w:pPr>
            <w:r w:rsidRPr="00A16777">
              <w:rPr>
                <w:sz w:val="18"/>
                <w:szCs w:val="18"/>
              </w:rPr>
              <w:t>from different ethnic groups</w:t>
            </w:r>
          </w:p>
          <w:p w14:paraId="5C20A89B" w14:textId="77777777" w:rsidR="009F2080" w:rsidRDefault="009F2080" w:rsidP="00020B31">
            <w:pPr>
              <w:rPr>
                <w:b/>
                <w:bCs/>
                <w:sz w:val="18"/>
                <w:szCs w:val="18"/>
              </w:rPr>
            </w:pPr>
            <w:r>
              <w:rPr>
                <w:b/>
                <w:bCs/>
                <w:sz w:val="18"/>
                <w:szCs w:val="18"/>
              </w:rPr>
              <w:t>+</w:t>
            </w:r>
          </w:p>
          <w:p w14:paraId="6BF11ACC" w14:textId="77777777" w:rsidR="009F2080" w:rsidRPr="00776914" w:rsidRDefault="009F2080" w:rsidP="00020B31">
            <w:pPr>
              <w:rPr>
                <w:b/>
                <w:bCs/>
                <w:sz w:val="18"/>
                <w:szCs w:val="18"/>
              </w:rPr>
            </w:pPr>
            <w:r w:rsidRPr="00101473">
              <w:rPr>
                <w:rFonts w:cstheme="minorHAnsi"/>
                <w:sz w:val="18"/>
                <w:szCs w:val="18"/>
              </w:rPr>
              <w:t>Overcoming segregation</w:t>
            </w:r>
          </w:p>
        </w:tc>
        <w:tc>
          <w:tcPr>
            <w:tcW w:w="1866" w:type="dxa"/>
            <w:shd w:val="clear" w:color="auto" w:fill="auto"/>
          </w:tcPr>
          <w:p w14:paraId="1B9DF1CF" w14:textId="77777777" w:rsidR="009F2080" w:rsidRPr="00DF592F" w:rsidRDefault="009F2080" w:rsidP="00020B31">
            <w:pPr>
              <w:rPr>
                <w:sz w:val="18"/>
                <w:szCs w:val="18"/>
              </w:rPr>
            </w:pPr>
          </w:p>
        </w:tc>
        <w:tc>
          <w:tcPr>
            <w:tcW w:w="2026" w:type="dxa"/>
            <w:shd w:val="clear" w:color="auto" w:fill="auto"/>
          </w:tcPr>
          <w:p w14:paraId="155242AE" w14:textId="77777777" w:rsidR="009F2080" w:rsidRPr="003A0A65" w:rsidRDefault="009F2080" w:rsidP="00020B31">
            <w:pPr>
              <w:rPr>
                <w:sz w:val="18"/>
                <w:szCs w:val="18"/>
              </w:rPr>
            </w:pPr>
            <w:r w:rsidRPr="00182CCF">
              <w:rPr>
                <w:sz w:val="18"/>
                <w:szCs w:val="18"/>
                <w:highlight w:val="yellow"/>
              </w:rPr>
              <w:t>Expressed in number of units per ethnic group divided by the total number of units (diversity value)</w:t>
            </w:r>
          </w:p>
        </w:tc>
        <w:tc>
          <w:tcPr>
            <w:tcW w:w="2321" w:type="dxa"/>
            <w:shd w:val="clear" w:color="auto" w:fill="auto"/>
          </w:tcPr>
          <w:p w14:paraId="0FD4D4B2" w14:textId="77777777" w:rsidR="009F2080" w:rsidRPr="00776914" w:rsidRDefault="009F2080" w:rsidP="00020B31">
            <w:pPr>
              <w:rPr>
                <w:b/>
                <w:bCs/>
                <w:sz w:val="18"/>
                <w:szCs w:val="18"/>
              </w:rPr>
            </w:pPr>
            <w:r>
              <w:rPr>
                <w:sz w:val="18"/>
                <w:szCs w:val="18"/>
              </w:rPr>
              <w:t>Value range 1-10</w:t>
            </w:r>
          </w:p>
        </w:tc>
        <w:tc>
          <w:tcPr>
            <w:tcW w:w="421" w:type="dxa"/>
          </w:tcPr>
          <w:p w14:paraId="72F06F14"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6D1B5FF6" w14:textId="77777777" w:rsidTr="00020B31">
        <w:tc>
          <w:tcPr>
            <w:tcW w:w="8595" w:type="dxa"/>
            <w:gridSpan w:val="5"/>
          </w:tcPr>
          <w:p w14:paraId="5D86252D" w14:textId="77777777" w:rsidR="009F2080" w:rsidRPr="00776914" w:rsidRDefault="009F2080" w:rsidP="00020B31">
            <w:pPr>
              <w:jc w:val="center"/>
              <w:rPr>
                <w:b/>
                <w:bCs/>
                <w:sz w:val="18"/>
                <w:szCs w:val="18"/>
              </w:rPr>
            </w:pPr>
            <w:r w:rsidRPr="00BC5C4D">
              <w:rPr>
                <w:b/>
                <w:bCs/>
                <w:sz w:val="18"/>
                <w:szCs w:val="18"/>
              </w:rPr>
              <w:t xml:space="preserve">Dataset 2: housing regulations, policies and developers’ </w:t>
            </w:r>
            <w:r>
              <w:rPr>
                <w:b/>
                <w:bCs/>
                <w:sz w:val="18"/>
                <w:szCs w:val="18"/>
              </w:rPr>
              <w:t>drivers</w:t>
            </w:r>
          </w:p>
        </w:tc>
        <w:tc>
          <w:tcPr>
            <w:tcW w:w="421" w:type="dxa"/>
          </w:tcPr>
          <w:p w14:paraId="7E4D0DE7" w14:textId="77777777" w:rsidR="009F2080" w:rsidRPr="00BC5C4D" w:rsidRDefault="009F2080" w:rsidP="00020B31">
            <w:pPr>
              <w:jc w:val="center"/>
              <w:rPr>
                <w:b/>
                <w:bCs/>
                <w:sz w:val="18"/>
                <w:szCs w:val="18"/>
              </w:rPr>
            </w:pPr>
          </w:p>
        </w:tc>
      </w:tr>
      <w:tr w:rsidR="009F2080" w:rsidRPr="0031633C" w14:paraId="20459C03" w14:textId="77777777" w:rsidTr="00020B31">
        <w:tc>
          <w:tcPr>
            <w:tcW w:w="672" w:type="dxa"/>
          </w:tcPr>
          <w:p w14:paraId="4E3D42BF" w14:textId="77777777" w:rsidR="009F2080" w:rsidRPr="00776914" w:rsidRDefault="009F2080" w:rsidP="00020B31">
            <w:pPr>
              <w:rPr>
                <w:b/>
                <w:bCs/>
                <w:sz w:val="18"/>
                <w:szCs w:val="18"/>
              </w:rPr>
            </w:pPr>
            <w:r>
              <w:rPr>
                <w:sz w:val="18"/>
                <w:szCs w:val="18"/>
              </w:rPr>
              <w:lastRenderedPageBreak/>
              <w:t>2.1.1</w:t>
            </w:r>
          </w:p>
        </w:tc>
        <w:tc>
          <w:tcPr>
            <w:tcW w:w="1710" w:type="dxa"/>
            <w:shd w:val="clear" w:color="auto" w:fill="auto"/>
          </w:tcPr>
          <w:p w14:paraId="1F368643" w14:textId="77777777" w:rsidR="009F2080" w:rsidRPr="00776914" w:rsidRDefault="009F2080" w:rsidP="00020B31">
            <w:pPr>
              <w:rPr>
                <w:b/>
                <w:bCs/>
                <w:sz w:val="18"/>
                <w:szCs w:val="18"/>
              </w:rPr>
            </w:pPr>
            <w:r w:rsidRPr="0023223F">
              <w:rPr>
                <w:sz w:val="18"/>
                <w:szCs w:val="18"/>
              </w:rPr>
              <w:t xml:space="preserve">minimum floor space standards, including storage </w:t>
            </w:r>
          </w:p>
        </w:tc>
        <w:tc>
          <w:tcPr>
            <w:tcW w:w="1866" w:type="dxa"/>
            <w:shd w:val="clear" w:color="auto" w:fill="auto"/>
          </w:tcPr>
          <w:p w14:paraId="09C968E6" w14:textId="77777777" w:rsidR="009F2080" w:rsidRPr="00DF592F" w:rsidRDefault="009F2080" w:rsidP="00020B31">
            <w:pPr>
              <w:rPr>
                <w:sz w:val="18"/>
                <w:szCs w:val="18"/>
              </w:rPr>
            </w:pPr>
            <w:r>
              <w:rPr>
                <w:sz w:val="18"/>
                <w:szCs w:val="18"/>
              </w:rPr>
              <w:t xml:space="preserve">As per </w:t>
            </w:r>
            <w:hyperlink r:id="rId17" w:history="1">
              <w:r w:rsidRPr="00B557F8">
                <w:rPr>
                  <w:rStyle w:val="Hyperlink"/>
                  <w:sz w:val="18"/>
                  <w:szCs w:val="18"/>
                </w:rPr>
                <w:t>UK national guidelines</w:t>
              </w:r>
            </w:hyperlink>
          </w:p>
        </w:tc>
        <w:tc>
          <w:tcPr>
            <w:tcW w:w="2026" w:type="dxa"/>
            <w:shd w:val="clear" w:color="auto" w:fill="auto"/>
          </w:tcPr>
          <w:p w14:paraId="0EC9E7A5" w14:textId="77777777" w:rsidR="009F2080" w:rsidRPr="0031633C" w:rsidRDefault="009F2080" w:rsidP="00020B31">
            <w:pPr>
              <w:rPr>
                <w:sz w:val="18"/>
                <w:szCs w:val="18"/>
              </w:rPr>
            </w:pPr>
            <w:r w:rsidRPr="0031633C">
              <w:rPr>
                <w:sz w:val="18"/>
                <w:szCs w:val="18"/>
              </w:rPr>
              <w:t>Area standards as per tabular values</w:t>
            </w:r>
            <w:r>
              <w:rPr>
                <w:sz w:val="18"/>
                <w:szCs w:val="18"/>
              </w:rPr>
              <w:t xml:space="preserve"> (values for this criterion should increase as areas &gt; minimum values)</w:t>
            </w:r>
          </w:p>
        </w:tc>
        <w:tc>
          <w:tcPr>
            <w:tcW w:w="2321" w:type="dxa"/>
            <w:shd w:val="clear" w:color="auto" w:fill="auto"/>
          </w:tcPr>
          <w:p w14:paraId="72C85F3C" w14:textId="77777777" w:rsidR="009F2080" w:rsidRPr="0031633C" w:rsidRDefault="009F2080" w:rsidP="00020B31">
            <w:pPr>
              <w:rPr>
                <w:sz w:val="18"/>
                <w:szCs w:val="18"/>
              </w:rPr>
            </w:pPr>
            <w:r w:rsidRPr="0031633C">
              <w:rPr>
                <w:sz w:val="18"/>
                <w:szCs w:val="18"/>
              </w:rPr>
              <w:t>floor space area</w:t>
            </w:r>
          </w:p>
        </w:tc>
        <w:tc>
          <w:tcPr>
            <w:tcW w:w="421" w:type="dxa"/>
          </w:tcPr>
          <w:p w14:paraId="0BFA66C7" w14:textId="77777777" w:rsidR="009F2080" w:rsidRPr="0031633C" w:rsidRDefault="009F2080" w:rsidP="00020B31">
            <w:pPr>
              <w:rPr>
                <w:sz w:val="18"/>
                <w:szCs w:val="18"/>
              </w:rPr>
            </w:pPr>
            <w:r w:rsidRPr="0031633C">
              <w:rPr>
                <w:sz w:val="18"/>
                <w:szCs w:val="18"/>
              </w:rPr>
              <w:t>m</w:t>
            </w:r>
            <w:r w:rsidRPr="0031633C">
              <w:rPr>
                <w:sz w:val="18"/>
                <w:szCs w:val="18"/>
                <w:vertAlign w:val="superscript"/>
              </w:rPr>
              <w:t>2</w:t>
            </w:r>
          </w:p>
        </w:tc>
      </w:tr>
      <w:tr w:rsidR="009F2080" w:rsidRPr="0031633C" w14:paraId="287B651C" w14:textId="77777777" w:rsidTr="00020B31">
        <w:tc>
          <w:tcPr>
            <w:tcW w:w="672" w:type="dxa"/>
          </w:tcPr>
          <w:p w14:paraId="297EF004" w14:textId="77777777" w:rsidR="009F2080" w:rsidRPr="00776914" w:rsidRDefault="009F2080" w:rsidP="00020B31">
            <w:pPr>
              <w:rPr>
                <w:b/>
                <w:bCs/>
                <w:sz w:val="18"/>
                <w:szCs w:val="18"/>
              </w:rPr>
            </w:pPr>
            <w:r w:rsidRPr="00305566">
              <w:rPr>
                <w:sz w:val="18"/>
                <w:szCs w:val="18"/>
              </w:rPr>
              <w:t>2.1.</w:t>
            </w:r>
            <w:r>
              <w:rPr>
                <w:sz w:val="18"/>
                <w:szCs w:val="18"/>
              </w:rPr>
              <w:t>2</w:t>
            </w:r>
          </w:p>
        </w:tc>
        <w:tc>
          <w:tcPr>
            <w:tcW w:w="1710" w:type="dxa"/>
            <w:shd w:val="clear" w:color="auto" w:fill="auto"/>
          </w:tcPr>
          <w:p w14:paraId="05CA8387" w14:textId="77777777" w:rsidR="009F2080" w:rsidRPr="00776914" w:rsidRDefault="009F2080" w:rsidP="00020B31">
            <w:pPr>
              <w:rPr>
                <w:b/>
                <w:bCs/>
                <w:sz w:val="18"/>
                <w:szCs w:val="18"/>
              </w:rPr>
            </w:pPr>
            <w:r w:rsidRPr="0023223F">
              <w:rPr>
                <w:sz w:val="18"/>
                <w:szCs w:val="18"/>
              </w:rPr>
              <w:t>All habitable rooms must have a minimum floor-to-ceiling height of 2.5 metres between finished floor level and finished ceiling level.</w:t>
            </w:r>
          </w:p>
        </w:tc>
        <w:tc>
          <w:tcPr>
            <w:tcW w:w="1866" w:type="dxa"/>
            <w:shd w:val="clear" w:color="auto" w:fill="auto"/>
          </w:tcPr>
          <w:p w14:paraId="45247CC1" w14:textId="77777777" w:rsidR="009F2080" w:rsidRPr="00DF592F" w:rsidRDefault="009F2080" w:rsidP="00020B31">
            <w:pPr>
              <w:rPr>
                <w:sz w:val="18"/>
                <w:szCs w:val="18"/>
              </w:rPr>
            </w:pPr>
            <w:r>
              <w:rPr>
                <w:sz w:val="18"/>
                <w:szCs w:val="18"/>
              </w:rPr>
              <w:t xml:space="preserve">As per </w:t>
            </w:r>
            <w:hyperlink r:id="rId18" w:history="1">
              <w:r w:rsidRPr="00B557F8">
                <w:rPr>
                  <w:rStyle w:val="Hyperlink"/>
                  <w:sz w:val="18"/>
                  <w:szCs w:val="18"/>
                </w:rPr>
                <w:t>UK national guidelines</w:t>
              </w:r>
            </w:hyperlink>
          </w:p>
        </w:tc>
        <w:tc>
          <w:tcPr>
            <w:tcW w:w="2026" w:type="dxa"/>
            <w:shd w:val="clear" w:color="auto" w:fill="auto"/>
          </w:tcPr>
          <w:p w14:paraId="23D2C01F" w14:textId="77777777" w:rsidR="009F2080" w:rsidRPr="0031633C" w:rsidRDefault="009F2080" w:rsidP="00020B31">
            <w:pPr>
              <w:rPr>
                <w:sz w:val="18"/>
                <w:szCs w:val="18"/>
              </w:rPr>
            </w:pPr>
            <w:r>
              <w:rPr>
                <w:sz w:val="18"/>
                <w:szCs w:val="18"/>
              </w:rPr>
              <w:t>height</w:t>
            </w:r>
            <w:r w:rsidRPr="0031633C">
              <w:rPr>
                <w:sz w:val="18"/>
                <w:szCs w:val="18"/>
              </w:rPr>
              <w:t xml:space="preserve"> standards as per tabular values</w:t>
            </w:r>
            <w:r>
              <w:rPr>
                <w:sz w:val="18"/>
                <w:szCs w:val="18"/>
              </w:rPr>
              <w:t xml:space="preserve"> (values for this criterion should increase as heights &gt; minimum values)</w:t>
            </w:r>
          </w:p>
        </w:tc>
        <w:tc>
          <w:tcPr>
            <w:tcW w:w="2321" w:type="dxa"/>
            <w:shd w:val="clear" w:color="auto" w:fill="auto"/>
          </w:tcPr>
          <w:p w14:paraId="67212E17" w14:textId="77777777" w:rsidR="009F2080" w:rsidRPr="0031633C" w:rsidRDefault="009F2080" w:rsidP="00020B31">
            <w:pPr>
              <w:rPr>
                <w:sz w:val="18"/>
                <w:szCs w:val="18"/>
              </w:rPr>
            </w:pPr>
            <w:r w:rsidRPr="0023223F">
              <w:rPr>
                <w:sz w:val="18"/>
                <w:szCs w:val="18"/>
              </w:rPr>
              <w:t>floor-to-ceiling height</w:t>
            </w:r>
          </w:p>
        </w:tc>
        <w:tc>
          <w:tcPr>
            <w:tcW w:w="421" w:type="dxa"/>
          </w:tcPr>
          <w:p w14:paraId="7EF21778" w14:textId="77777777" w:rsidR="009F2080" w:rsidRPr="0031633C" w:rsidRDefault="009F2080" w:rsidP="00020B31">
            <w:pPr>
              <w:rPr>
                <w:sz w:val="18"/>
                <w:szCs w:val="18"/>
              </w:rPr>
            </w:pPr>
            <w:r w:rsidRPr="0031633C">
              <w:rPr>
                <w:sz w:val="18"/>
                <w:szCs w:val="18"/>
              </w:rPr>
              <w:t>m</w:t>
            </w:r>
          </w:p>
        </w:tc>
      </w:tr>
      <w:tr w:rsidR="009F2080" w14:paraId="44B2C4C3" w14:textId="77777777" w:rsidTr="00020B31">
        <w:tc>
          <w:tcPr>
            <w:tcW w:w="672" w:type="dxa"/>
          </w:tcPr>
          <w:p w14:paraId="20E2A93B" w14:textId="77777777" w:rsidR="009F2080" w:rsidRPr="00776914" w:rsidRDefault="009F2080" w:rsidP="00020B31">
            <w:pPr>
              <w:rPr>
                <w:b/>
                <w:bCs/>
                <w:sz w:val="18"/>
                <w:szCs w:val="18"/>
              </w:rPr>
            </w:pPr>
            <w:r w:rsidRPr="00305566">
              <w:rPr>
                <w:sz w:val="18"/>
                <w:szCs w:val="18"/>
              </w:rPr>
              <w:t>2.1.</w:t>
            </w:r>
            <w:r>
              <w:rPr>
                <w:sz w:val="18"/>
                <w:szCs w:val="18"/>
              </w:rPr>
              <w:t>3</w:t>
            </w:r>
          </w:p>
        </w:tc>
        <w:tc>
          <w:tcPr>
            <w:tcW w:w="1710" w:type="dxa"/>
            <w:shd w:val="clear" w:color="auto" w:fill="auto"/>
          </w:tcPr>
          <w:p w14:paraId="32830FE8" w14:textId="77777777" w:rsidR="009F2080" w:rsidRPr="00776914" w:rsidRDefault="009F2080" w:rsidP="00020B31">
            <w:pPr>
              <w:rPr>
                <w:b/>
                <w:bCs/>
                <w:sz w:val="18"/>
                <w:szCs w:val="18"/>
              </w:rPr>
            </w:pPr>
            <w:r w:rsidRPr="0023223F">
              <w:rPr>
                <w:sz w:val="18"/>
                <w:szCs w:val="18"/>
              </w:rPr>
              <w:t>a minimum of 5 sqm of private outdoor space for one-to-two person dwellings and must provide an extra 1 sqm for each additional occupant.</w:t>
            </w:r>
          </w:p>
        </w:tc>
        <w:tc>
          <w:tcPr>
            <w:tcW w:w="1866" w:type="dxa"/>
            <w:shd w:val="clear" w:color="auto" w:fill="auto"/>
          </w:tcPr>
          <w:p w14:paraId="6905F818" w14:textId="77777777" w:rsidR="009F2080" w:rsidRPr="00776914" w:rsidRDefault="009F2080" w:rsidP="00020B31">
            <w:pPr>
              <w:rPr>
                <w:b/>
                <w:bCs/>
                <w:sz w:val="18"/>
                <w:szCs w:val="18"/>
              </w:rPr>
            </w:pPr>
            <w:r>
              <w:rPr>
                <w:sz w:val="18"/>
                <w:szCs w:val="18"/>
              </w:rPr>
              <w:t xml:space="preserve">As per </w:t>
            </w:r>
            <w:hyperlink r:id="rId19" w:history="1">
              <w:r w:rsidRPr="00B557F8">
                <w:rPr>
                  <w:rStyle w:val="Hyperlink"/>
                  <w:sz w:val="18"/>
                  <w:szCs w:val="18"/>
                </w:rPr>
                <w:t>UK national guidelines</w:t>
              </w:r>
            </w:hyperlink>
          </w:p>
        </w:tc>
        <w:tc>
          <w:tcPr>
            <w:tcW w:w="2026" w:type="dxa"/>
            <w:shd w:val="clear" w:color="auto" w:fill="auto"/>
          </w:tcPr>
          <w:p w14:paraId="250B8F21" w14:textId="77777777" w:rsidR="009F2080" w:rsidRPr="00776914" w:rsidRDefault="009F2080" w:rsidP="00020B31">
            <w:pPr>
              <w:rPr>
                <w:b/>
                <w:bCs/>
                <w:sz w:val="18"/>
                <w:szCs w:val="18"/>
              </w:rPr>
            </w:pPr>
            <w:r w:rsidRPr="0031633C">
              <w:rPr>
                <w:sz w:val="18"/>
                <w:szCs w:val="18"/>
              </w:rPr>
              <w:t>Area standards as per tabular values</w:t>
            </w:r>
            <w:r>
              <w:rPr>
                <w:sz w:val="18"/>
                <w:szCs w:val="18"/>
              </w:rPr>
              <w:t xml:space="preserve"> (values for this criterion should increase as areas &gt; minimum values)</w:t>
            </w:r>
          </w:p>
        </w:tc>
        <w:tc>
          <w:tcPr>
            <w:tcW w:w="2321" w:type="dxa"/>
            <w:shd w:val="clear" w:color="auto" w:fill="auto"/>
          </w:tcPr>
          <w:p w14:paraId="477EB9BB" w14:textId="77777777" w:rsidR="009F2080" w:rsidRPr="00776914" w:rsidRDefault="009F2080" w:rsidP="00020B31">
            <w:pPr>
              <w:rPr>
                <w:b/>
                <w:bCs/>
                <w:sz w:val="18"/>
                <w:szCs w:val="18"/>
              </w:rPr>
            </w:pPr>
            <w:r w:rsidRPr="0031633C">
              <w:rPr>
                <w:sz w:val="18"/>
                <w:szCs w:val="18"/>
              </w:rPr>
              <w:t>floor space area</w:t>
            </w:r>
          </w:p>
        </w:tc>
        <w:tc>
          <w:tcPr>
            <w:tcW w:w="421" w:type="dxa"/>
          </w:tcPr>
          <w:p w14:paraId="63A8257B" w14:textId="77777777" w:rsidR="009F2080" w:rsidRPr="00776914" w:rsidRDefault="009F2080" w:rsidP="00020B31">
            <w:pPr>
              <w:rPr>
                <w:b/>
                <w:bCs/>
                <w:sz w:val="18"/>
                <w:szCs w:val="18"/>
              </w:rPr>
            </w:pPr>
            <w:r w:rsidRPr="0031633C">
              <w:rPr>
                <w:sz w:val="18"/>
                <w:szCs w:val="18"/>
              </w:rPr>
              <w:t>m</w:t>
            </w:r>
            <w:r w:rsidRPr="0031633C">
              <w:rPr>
                <w:sz w:val="18"/>
                <w:szCs w:val="18"/>
                <w:vertAlign w:val="superscript"/>
              </w:rPr>
              <w:t>2</w:t>
            </w:r>
          </w:p>
        </w:tc>
      </w:tr>
      <w:tr w:rsidR="009F2080" w14:paraId="464F7BC1" w14:textId="77777777" w:rsidTr="00020B31">
        <w:tc>
          <w:tcPr>
            <w:tcW w:w="672" w:type="dxa"/>
          </w:tcPr>
          <w:p w14:paraId="193347F5" w14:textId="77777777" w:rsidR="009F2080" w:rsidRPr="00776914" w:rsidRDefault="009F2080" w:rsidP="00020B31">
            <w:pPr>
              <w:rPr>
                <w:b/>
                <w:bCs/>
                <w:sz w:val="18"/>
                <w:szCs w:val="18"/>
              </w:rPr>
            </w:pPr>
            <w:r w:rsidRPr="00786A86">
              <w:rPr>
                <w:sz w:val="18"/>
                <w:szCs w:val="18"/>
              </w:rPr>
              <w:t>2.1.</w:t>
            </w:r>
            <w:r>
              <w:rPr>
                <w:sz w:val="18"/>
                <w:szCs w:val="18"/>
              </w:rPr>
              <w:t>5</w:t>
            </w:r>
          </w:p>
        </w:tc>
        <w:tc>
          <w:tcPr>
            <w:tcW w:w="1710" w:type="dxa"/>
            <w:shd w:val="clear" w:color="auto" w:fill="auto"/>
          </w:tcPr>
          <w:p w14:paraId="5F5C30AF" w14:textId="77777777" w:rsidR="009F2080" w:rsidRPr="00776914" w:rsidRDefault="009F2080" w:rsidP="00020B31">
            <w:pPr>
              <w:rPr>
                <w:b/>
                <w:bCs/>
                <w:sz w:val="18"/>
                <w:szCs w:val="18"/>
              </w:rPr>
            </w:pPr>
            <w:r w:rsidRPr="0023223F">
              <w:rPr>
                <w:sz w:val="18"/>
                <w:szCs w:val="18"/>
              </w:rPr>
              <w:t>The number of homes accessed from a single core must not exceed 8 homes per floor.</w:t>
            </w:r>
          </w:p>
        </w:tc>
        <w:tc>
          <w:tcPr>
            <w:tcW w:w="1866" w:type="dxa"/>
            <w:shd w:val="clear" w:color="auto" w:fill="auto"/>
          </w:tcPr>
          <w:p w14:paraId="6EC489A1" w14:textId="77777777" w:rsidR="009F2080" w:rsidRPr="00776914" w:rsidRDefault="009F2080" w:rsidP="00020B31">
            <w:pPr>
              <w:rPr>
                <w:b/>
                <w:bCs/>
                <w:sz w:val="18"/>
                <w:szCs w:val="18"/>
              </w:rPr>
            </w:pPr>
            <w:r>
              <w:rPr>
                <w:sz w:val="18"/>
                <w:szCs w:val="18"/>
              </w:rPr>
              <w:t xml:space="preserve">As per </w:t>
            </w:r>
            <w:hyperlink r:id="rId20" w:history="1">
              <w:r w:rsidRPr="00B557F8">
                <w:rPr>
                  <w:rStyle w:val="Hyperlink"/>
                  <w:sz w:val="18"/>
                  <w:szCs w:val="18"/>
                </w:rPr>
                <w:t>UK national guidelines</w:t>
              </w:r>
            </w:hyperlink>
          </w:p>
        </w:tc>
        <w:tc>
          <w:tcPr>
            <w:tcW w:w="2026" w:type="dxa"/>
            <w:shd w:val="clear" w:color="auto" w:fill="auto"/>
          </w:tcPr>
          <w:p w14:paraId="04E0E073"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number of units &gt; minimum values)</w:t>
            </w:r>
          </w:p>
        </w:tc>
        <w:tc>
          <w:tcPr>
            <w:tcW w:w="2321" w:type="dxa"/>
            <w:shd w:val="clear" w:color="auto" w:fill="auto"/>
          </w:tcPr>
          <w:p w14:paraId="420F521A" w14:textId="77777777" w:rsidR="009F2080" w:rsidRPr="00776914" w:rsidRDefault="009F2080" w:rsidP="00020B31">
            <w:pPr>
              <w:rPr>
                <w:b/>
                <w:bCs/>
                <w:sz w:val="18"/>
                <w:szCs w:val="18"/>
              </w:rPr>
            </w:pPr>
            <w:r>
              <w:rPr>
                <w:sz w:val="18"/>
                <w:szCs w:val="18"/>
              </w:rPr>
              <w:t>Value range 1-10</w:t>
            </w:r>
          </w:p>
        </w:tc>
        <w:tc>
          <w:tcPr>
            <w:tcW w:w="421" w:type="dxa"/>
          </w:tcPr>
          <w:p w14:paraId="60CD7D5E"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3172D0DA" w14:textId="77777777" w:rsidTr="00020B31">
        <w:tc>
          <w:tcPr>
            <w:tcW w:w="672" w:type="dxa"/>
          </w:tcPr>
          <w:p w14:paraId="724B7792" w14:textId="77777777" w:rsidR="009F2080" w:rsidRPr="00776914" w:rsidRDefault="009F2080" w:rsidP="00020B31">
            <w:pPr>
              <w:rPr>
                <w:b/>
                <w:bCs/>
                <w:sz w:val="18"/>
                <w:szCs w:val="18"/>
              </w:rPr>
            </w:pPr>
            <w:r w:rsidRPr="00786A86">
              <w:rPr>
                <w:sz w:val="18"/>
                <w:szCs w:val="18"/>
              </w:rPr>
              <w:t>2.1.</w:t>
            </w:r>
            <w:r>
              <w:rPr>
                <w:sz w:val="18"/>
                <w:szCs w:val="18"/>
              </w:rPr>
              <w:t>6</w:t>
            </w:r>
          </w:p>
        </w:tc>
        <w:tc>
          <w:tcPr>
            <w:tcW w:w="1710" w:type="dxa"/>
            <w:shd w:val="clear" w:color="auto" w:fill="auto"/>
          </w:tcPr>
          <w:p w14:paraId="543721C9" w14:textId="77777777" w:rsidR="009F2080" w:rsidRPr="00776914" w:rsidRDefault="009F2080" w:rsidP="00020B31">
            <w:pPr>
              <w:rPr>
                <w:b/>
                <w:bCs/>
                <w:sz w:val="18"/>
                <w:szCs w:val="18"/>
              </w:rPr>
            </w:pPr>
            <w:r w:rsidRPr="0023223F">
              <w:rPr>
                <w:sz w:val="18"/>
                <w:szCs w:val="18"/>
              </w:rPr>
              <w:t>All homes with three bedrooms or more must be dual aspect. Any single aspect one-bedroom or two-bedroom dwellings must not be north-facing.</w:t>
            </w:r>
          </w:p>
        </w:tc>
        <w:tc>
          <w:tcPr>
            <w:tcW w:w="1866" w:type="dxa"/>
            <w:shd w:val="clear" w:color="auto" w:fill="auto"/>
          </w:tcPr>
          <w:p w14:paraId="6217FEB3" w14:textId="77777777" w:rsidR="009F2080" w:rsidRPr="00776914" w:rsidRDefault="009F2080" w:rsidP="00020B31">
            <w:pPr>
              <w:rPr>
                <w:b/>
                <w:bCs/>
                <w:sz w:val="18"/>
                <w:szCs w:val="18"/>
              </w:rPr>
            </w:pPr>
            <w:r>
              <w:rPr>
                <w:sz w:val="18"/>
                <w:szCs w:val="18"/>
              </w:rPr>
              <w:t xml:space="preserve">As per </w:t>
            </w:r>
            <w:hyperlink r:id="rId21" w:history="1">
              <w:r w:rsidRPr="00B557F8">
                <w:rPr>
                  <w:rStyle w:val="Hyperlink"/>
                  <w:sz w:val="18"/>
                  <w:szCs w:val="18"/>
                </w:rPr>
                <w:t>UK national guidelines</w:t>
              </w:r>
            </w:hyperlink>
          </w:p>
        </w:tc>
        <w:tc>
          <w:tcPr>
            <w:tcW w:w="2026" w:type="dxa"/>
            <w:shd w:val="clear" w:color="auto" w:fill="auto"/>
          </w:tcPr>
          <w:p w14:paraId="4D92FB55"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number of windows on different walls &gt; minimum values)</w:t>
            </w:r>
          </w:p>
        </w:tc>
        <w:tc>
          <w:tcPr>
            <w:tcW w:w="2321" w:type="dxa"/>
            <w:shd w:val="clear" w:color="auto" w:fill="auto"/>
          </w:tcPr>
          <w:p w14:paraId="1AC0D1B6" w14:textId="77777777" w:rsidR="009F2080" w:rsidRPr="00776914" w:rsidRDefault="009F2080" w:rsidP="00020B31">
            <w:pPr>
              <w:rPr>
                <w:b/>
                <w:bCs/>
                <w:sz w:val="18"/>
                <w:szCs w:val="18"/>
              </w:rPr>
            </w:pPr>
            <w:r>
              <w:rPr>
                <w:sz w:val="18"/>
                <w:szCs w:val="18"/>
              </w:rPr>
              <w:t>Value range 1-10</w:t>
            </w:r>
          </w:p>
        </w:tc>
        <w:tc>
          <w:tcPr>
            <w:tcW w:w="421" w:type="dxa"/>
          </w:tcPr>
          <w:p w14:paraId="7239E0D2"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4A9365D5" w14:textId="77777777" w:rsidTr="00020B31">
        <w:tc>
          <w:tcPr>
            <w:tcW w:w="672" w:type="dxa"/>
          </w:tcPr>
          <w:p w14:paraId="1CC2F8B7" w14:textId="77777777" w:rsidR="009F2080" w:rsidRPr="00776914" w:rsidRDefault="009F2080" w:rsidP="00020B31">
            <w:pPr>
              <w:rPr>
                <w:b/>
                <w:bCs/>
                <w:sz w:val="18"/>
                <w:szCs w:val="18"/>
              </w:rPr>
            </w:pPr>
            <w:r w:rsidRPr="00786A86">
              <w:rPr>
                <w:sz w:val="18"/>
                <w:szCs w:val="18"/>
              </w:rPr>
              <w:t>2.1.</w:t>
            </w:r>
            <w:r>
              <w:rPr>
                <w:sz w:val="18"/>
                <w:szCs w:val="18"/>
              </w:rPr>
              <w:t>7</w:t>
            </w:r>
          </w:p>
        </w:tc>
        <w:tc>
          <w:tcPr>
            <w:tcW w:w="1710" w:type="dxa"/>
            <w:shd w:val="clear" w:color="auto" w:fill="auto"/>
          </w:tcPr>
          <w:p w14:paraId="7ECC3CD3" w14:textId="77777777" w:rsidR="009F2080" w:rsidRPr="00776914" w:rsidRDefault="009F2080" w:rsidP="00020B31">
            <w:pPr>
              <w:rPr>
                <w:b/>
                <w:bCs/>
                <w:sz w:val="18"/>
                <w:szCs w:val="18"/>
              </w:rPr>
            </w:pPr>
            <w:r w:rsidRPr="0023223F">
              <w:rPr>
                <w:sz w:val="18"/>
                <w:szCs w:val="18"/>
              </w:rPr>
              <w:t>All homes must provide for direct sunlight to enter at least one habitable room for part of the day.</w:t>
            </w:r>
          </w:p>
        </w:tc>
        <w:tc>
          <w:tcPr>
            <w:tcW w:w="1866" w:type="dxa"/>
            <w:shd w:val="clear" w:color="auto" w:fill="auto"/>
          </w:tcPr>
          <w:p w14:paraId="7C465B44" w14:textId="77777777" w:rsidR="009F2080" w:rsidRPr="00776914" w:rsidRDefault="009F2080" w:rsidP="00020B31">
            <w:pPr>
              <w:rPr>
                <w:b/>
                <w:bCs/>
                <w:sz w:val="18"/>
                <w:szCs w:val="18"/>
              </w:rPr>
            </w:pPr>
            <w:r>
              <w:rPr>
                <w:sz w:val="18"/>
                <w:szCs w:val="18"/>
              </w:rPr>
              <w:t xml:space="preserve">As per </w:t>
            </w:r>
            <w:hyperlink r:id="rId22" w:history="1">
              <w:r w:rsidRPr="00B557F8">
                <w:rPr>
                  <w:rStyle w:val="Hyperlink"/>
                  <w:sz w:val="18"/>
                  <w:szCs w:val="18"/>
                </w:rPr>
                <w:t>UK national guidelines</w:t>
              </w:r>
            </w:hyperlink>
          </w:p>
        </w:tc>
        <w:tc>
          <w:tcPr>
            <w:tcW w:w="2026" w:type="dxa"/>
            <w:shd w:val="clear" w:color="auto" w:fill="auto"/>
          </w:tcPr>
          <w:p w14:paraId="32284035"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number of windows on different walls &gt; minimum values)</w:t>
            </w:r>
          </w:p>
        </w:tc>
        <w:tc>
          <w:tcPr>
            <w:tcW w:w="2321" w:type="dxa"/>
            <w:shd w:val="clear" w:color="auto" w:fill="auto"/>
          </w:tcPr>
          <w:p w14:paraId="4D33F883" w14:textId="77777777" w:rsidR="009F2080" w:rsidRPr="00776914" w:rsidRDefault="009F2080" w:rsidP="00020B31">
            <w:pPr>
              <w:rPr>
                <w:b/>
                <w:bCs/>
                <w:sz w:val="18"/>
                <w:szCs w:val="18"/>
              </w:rPr>
            </w:pPr>
            <w:r>
              <w:rPr>
                <w:sz w:val="18"/>
                <w:szCs w:val="18"/>
              </w:rPr>
              <w:t>Value range 1-10</w:t>
            </w:r>
          </w:p>
        </w:tc>
        <w:tc>
          <w:tcPr>
            <w:tcW w:w="421" w:type="dxa"/>
          </w:tcPr>
          <w:p w14:paraId="5DD18976"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32084607" w14:textId="77777777" w:rsidTr="00020B31">
        <w:tc>
          <w:tcPr>
            <w:tcW w:w="672" w:type="dxa"/>
          </w:tcPr>
          <w:p w14:paraId="13B680C9" w14:textId="77777777" w:rsidR="009F2080" w:rsidRDefault="009F2080" w:rsidP="00020B31">
            <w:pPr>
              <w:rPr>
                <w:sz w:val="18"/>
                <w:szCs w:val="18"/>
              </w:rPr>
            </w:pPr>
            <w:r w:rsidRPr="00786A86">
              <w:rPr>
                <w:sz w:val="18"/>
                <w:szCs w:val="18"/>
              </w:rPr>
              <w:t>2.1.</w:t>
            </w:r>
            <w:r>
              <w:rPr>
                <w:sz w:val="18"/>
                <w:szCs w:val="18"/>
              </w:rPr>
              <w:t>8</w:t>
            </w:r>
          </w:p>
          <w:p w14:paraId="5B7761C7" w14:textId="77777777" w:rsidR="009F2080" w:rsidRPr="00776914" w:rsidRDefault="009F2080" w:rsidP="00020B31">
            <w:pPr>
              <w:rPr>
                <w:b/>
                <w:bCs/>
                <w:sz w:val="18"/>
                <w:szCs w:val="18"/>
              </w:rPr>
            </w:pPr>
            <w:r w:rsidRPr="00B32291">
              <w:rPr>
                <w:sz w:val="18"/>
                <w:szCs w:val="18"/>
              </w:rPr>
              <w:t>2.2.</w:t>
            </w:r>
            <w:r>
              <w:rPr>
                <w:sz w:val="18"/>
                <w:szCs w:val="18"/>
              </w:rPr>
              <w:t>3</w:t>
            </w:r>
          </w:p>
        </w:tc>
        <w:tc>
          <w:tcPr>
            <w:tcW w:w="1710" w:type="dxa"/>
            <w:shd w:val="clear" w:color="auto" w:fill="auto"/>
          </w:tcPr>
          <w:p w14:paraId="0DEF096E" w14:textId="77777777" w:rsidR="009F2080" w:rsidRPr="00776914" w:rsidRDefault="009F2080" w:rsidP="00020B31">
            <w:pPr>
              <w:rPr>
                <w:b/>
                <w:bCs/>
                <w:sz w:val="18"/>
                <w:szCs w:val="18"/>
              </w:rPr>
            </w:pPr>
            <w:r w:rsidRPr="0023223F">
              <w:rPr>
                <w:sz w:val="18"/>
                <w:szCs w:val="18"/>
              </w:rPr>
              <w:t>For developments with 10+ homes, at least 10 per cent of dwellings should meet Building Regulation M4(3) requirements for wheelchair user dwellings. All other new build dwellings within the development should meet Building Regulation M4(2) requirement for accessible and adaptable dwellings.</w:t>
            </w:r>
          </w:p>
        </w:tc>
        <w:tc>
          <w:tcPr>
            <w:tcW w:w="1866" w:type="dxa"/>
            <w:shd w:val="clear" w:color="auto" w:fill="auto"/>
          </w:tcPr>
          <w:p w14:paraId="26497749" w14:textId="77777777" w:rsidR="009F2080" w:rsidRPr="00776914" w:rsidRDefault="009F2080" w:rsidP="00020B31">
            <w:pPr>
              <w:rPr>
                <w:b/>
                <w:bCs/>
                <w:sz w:val="18"/>
                <w:szCs w:val="18"/>
              </w:rPr>
            </w:pPr>
            <w:r>
              <w:rPr>
                <w:sz w:val="18"/>
                <w:szCs w:val="18"/>
              </w:rPr>
              <w:t xml:space="preserve">As per </w:t>
            </w:r>
            <w:hyperlink r:id="rId23" w:history="1">
              <w:r w:rsidRPr="00B557F8">
                <w:rPr>
                  <w:rStyle w:val="Hyperlink"/>
                  <w:sz w:val="18"/>
                  <w:szCs w:val="18"/>
                </w:rPr>
                <w:t>UK national guidelines</w:t>
              </w:r>
            </w:hyperlink>
          </w:p>
        </w:tc>
        <w:tc>
          <w:tcPr>
            <w:tcW w:w="2026" w:type="dxa"/>
            <w:shd w:val="clear" w:color="auto" w:fill="auto"/>
          </w:tcPr>
          <w:p w14:paraId="6B71F971"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accessibility &gt; minimum requirements)</w:t>
            </w:r>
          </w:p>
        </w:tc>
        <w:tc>
          <w:tcPr>
            <w:tcW w:w="2321" w:type="dxa"/>
            <w:shd w:val="clear" w:color="auto" w:fill="auto"/>
          </w:tcPr>
          <w:p w14:paraId="0E7B60A9" w14:textId="77777777" w:rsidR="009F2080" w:rsidRPr="00776914" w:rsidRDefault="009F2080" w:rsidP="00020B31">
            <w:pPr>
              <w:rPr>
                <w:b/>
                <w:bCs/>
                <w:sz w:val="18"/>
                <w:szCs w:val="18"/>
              </w:rPr>
            </w:pPr>
            <w:r>
              <w:rPr>
                <w:sz w:val="18"/>
                <w:szCs w:val="18"/>
              </w:rPr>
              <w:t>Value range 1-10</w:t>
            </w:r>
          </w:p>
        </w:tc>
        <w:tc>
          <w:tcPr>
            <w:tcW w:w="421" w:type="dxa"/>
          </w:tcPr>
          <w:p w14:paraId="2E37E992"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1B850FE7" w14:textId="77777777" w:rsidTr="00020B31">
        <w:tc>
          <w:tcPr>
            <w:tcW w:w="672" w:type="dxa"/>
          </w:tcPr>
          <w:p w14:paraId="02735908" w14:textId="77777777" w:rsidR="009F2080" w:rsidRDefault="009F2080" w:rsidP="00020B31">
            <w:pPr>
              <w:rPr>
                <w:sz w:val="18"/>
                <w:szCs w:val="18"/>
              </w:rPr>
            </w:pPr>
            <w:r w:rsidRPr="00950487">
              <w:rPr>
                <w:sz w:val="18"/>
                <w:szCs w:val="18"/>
              </w:rPr>
              <w:t>2.1.</w:t>
            </w:r>
            <w:r>
              <w:rPr>
                <w:sz w:val="18"/>
                <w:szCs w:val="18"/>
              </w:rPr>
              <w:t>10</w:t>
            </w:r>
          </w:p>
          <w:p w14:paraId="1E2B3D42" w14:textId="77777777" w:rsidR="009F2080" w:rsidRDefault="009F2080" w:rsidP="00020B31">
            <w:pPr>
              <w:rPr>
                <w:sz w:val="18"/>
                <w:szCs w:val="18"/>
              </w:rPr>
            </w:pPr>
            <w:r>
              <w:rPr>
                <w:sz w:val="18"/>
                <w:szCs w:val="18"/>
              </w:rPr>
              <w:t>+</w:t>
            </w:r>
          </w:p>
          <w:p w14:paraId="7BD9CD0A" w14:textId="77777777" w:rsidR="009F2080" w:rsidRDefault="009F2080" w:rsidP="00020B31">
            <w:pPr>
              <w:rPr>
                <w:sz w:val="18"/>
                <w:szCs w:val="18"/>
              </w:rPr>
            </w:pPr>
            <w:r w:rsidRPr="00950487">
              <w:rPr>
                <w:sz w:val="18"/>
                <w:szCs w:val="18"/>
              </w:rPr>
              <w:t>2.1.</w:t>
            </w:r>
            <w:r>
              <w:rPr>
                <w:sz w:val="18"/>
                <w:szCs w:val="18"/>
              </w:rPr>
              <w:t>15</w:t>
            </w:r>
          </w:p>
          <w:p w14:paraId="6D9BF516" w14:textId="77777777" w:rsidR="009F2080" w:rsidRPr="00776914" w:rsidRDefault="009F2080" w:rsidP="00020B31">
            <w:pPr>
              <w:rPr>
                <w:b/>
                <w:bCs/>
                <w:sz w:val="18"/>
                <w:szCs w:val="18"/>
              </w:rPr>
            </w:pPr>
          </w:p>
        </w:tc>
        <w:tc>
          <w:tcPr>
            <w:tcW w:w="1710" w:type="dxa"/>
            <w:shd w:val="clear" w:color="auto" w:fill="auto"/>
          </w:tcPr>
          <w:p w14:paraId="131641F5" w14:textId="77777777" w:rsidR="009F2080" w:rsidRDefault="009F2080" w:rsidP="00020B31">
            <w:pPr>
              <w:rPr>
                <w:rFonts w:cstheme="minorHAnsi"/>
                <w:sz w:val="18"/>
                <w:szCs w:val="18"/>
              </w:rPr>
            </w:pPr>
            <w:r w:rsidRPr="00B26A0D">
              <w:rPr>
                <w:rFonts w:cstheme="minorHAnsi"/>
                <w:sz w:val="18"/>
                <w:szCs w:val="18"/>
              </w:rPr>
              <w:lastRenderedPageBreak/>
              <w:t>Net Zero Carbon Homes</w:t>
            </w:r>
          </w:p>
          <w:p w14:paraId="57ED1C4F" w14:textId="77777777" w:rsidR="009F2080" w:rsidRDefault="009F2080" w:rsidP="00020B31">
            <w:pPr>
              <w:rPr>
                <w:rFonts w:cstheme="minorHAnsi"/>
                <w:b/>
                <w:bCs/>
                <w:sz w:val="18"/>
                <w:szCs w:val="18"/>
              </w:rPr>
            </w:pPr>
            <w:r>
              <w:rPr>
                <w:rFonts w:cstheme="minorHAnsi"/>
                <w:b/>
                <w:bCs/>
                <w:sz w:val="18"/>
                <w:szCs w:val="18"/>
              </w:rPr>
              <w:t>+</w:t>
            </w:r>
          </w:p>
          <w:p w14:paraId="3E63E767" w14:textId="77777777" w:rsidR="009F2080" w:rsidRPr="00776914" w:rsidRDefault="009F2080" w:rsidP="00020B31">
            <w:pPr>
              <w:rPr>
                <w:b/>
                <w:bCs/>
                <w:sz w:val="18"/>
                <w:szCs w:val="18"/>
              </w:rPr>
            </w:pPr>
            <w:r w:rsidRPr="00B26A0D">
              <w:rPr>
                <w:rFonts w:cstheme="minorHAnsi"/>
                <w:sz w:val="18"/>
                <w:szCs w:val="18"/>
              </w:rPr>
              <w:lastRenderedPageBreak/>
              <w:t>Managing heat risk</w:t>
            </w:r>
          </w:p>
        </w:tc>
        <w:tc>
          <w:tcPr>
            <w:tcW w:w="1866" w:type="dxa"/>
            <w:shd w:val="clear" w:color="auto" w:fill="auto"/>
          </w:tcPr>
          <w:p w14:paraId="19B1390E" w14:textId="77777777" w:rsidR="009F2080" w:rsidRPr="00776958" w:rsidRDefault="009F2080" w:rsidP="00020B31">
            <w:pPr>
              <w:rPr>
                <w:sz w:val="18"/>
                <w:szCs w:val="18"/>
              </w:rPr>
            </w:pPr>
            <w:r w:rsidRPr="00776958">
              <w:rPr>
                <w:sz w:val="18"/>
                <w:szCs w:val="18"/>
              </w:rPr>
              <w:lastRenderedPageBreak/>
              <w:t>As per UK national guidelines:</w:t>
            </w:r>
          </w:p>
          <w:p w14:paraId="3EE6915F" w14:textId="77777777" w:rsidR="009F2080" w:rsidRPr="00776958" w:rsidRDefault="00D047F3" w:rsidP="00020B31">
            <w:pPr>
              <w:rPr>
                <w:sz w:val="18"/>
                <w:szCs w:val="18"/>
              </w:rPr>
            </w:pPr>
            <w:hyperlink r:id="rId24" w:history="1">
              <w:r w:rsidR="009F2080" w:rsidRPr="00776958">
                <w:rPr>
                  <w:rStyle w:val="Hyperlink"/>
                  <w:sz w:val="18"/>
                  <w:szCs w:val="18"/>
                </w:rPr>
                <w:t>Approved Doc L</w:t>
              </w:r>
            </w:hyperlink>
          </w:p>
          <w:p w14:paraId="2E63C7B3" w14:textId="77777777" w:rsidR="009F2080" w:rsidRPr="00776958" w:rsidRDefault="00D047F3" w:rsidP="00020B31">
            <w:pPr>
              <w:rPr>
                <w:sz w:val="18"/>
                <w:szCs w:val="18"/>
              </w:rPr>
            </w:pPr>
            <w:hyperlink r:id="rId25" w:history="1">
              <w:r w:rsidR="009F2080" w:rsidRPr="00B55261">
                <w:rPr>
                  <w:rStyle w:val="Hyperlink"/>
                  <w:sz w:val="18"/>
                  <w:szCs w:val="18"/>
                </w:rPr>
                <w:t>Approved Doc F</w:t>
              </w:r>
            </w:hyperlink>
          </w:p>
          <w:p w14:paraId="44F0DDDE" w14:textId="77777777" w:rsidR="009F2080" w:rsidRPr="00776914" w:rsidRDefault="00D047F3" w:rsidP="00020B31">
            <w:pPr>
              <w:rPr>
                <w:b/>
                <w:bCs/>
                <w:sz w:val="18"/>
                <w:szCs w:val="18"/>
              </w:rPr>
            </w:pPr>
            <w:hyperlink r:id="rId26" w:history="1">
              <w:r w:rsidR="009F2080" w:rsidRPr="00B55261">
                <w:rPr>
                  <w:rStyle w:val="Hyperlink"/>
                  <w:sz w:val="18"/>
                  <w:szCs w:val="18"/>
                </w:rPr>
                <w:t>Approved Doc O</w:t>
              </w:r>
            </w:hyperlink>
          </w:p>
        </w:tc>
        <w:tc>
          <w:tcPr>
            <w:tcW w:w="2026" w:type="dxa"/>
            <w:shd w:val="clear" w:color="auto" w:fill="auto"/>
          </w:tcPr>
          <w:p w14:paraId="677C5E32" w14:textId="77777777" w:rsidR="009F2080" w:rsidRPr="00776914" w:rsidRDefault="009F2080" w:rsidP="00020B31">
            <w:pPr>
              <w:rPr>
                <w:b/>
                <w:bCs/>
                <w:sz w:val="18"/>
                <w:szCs w:val="18"/>
              </w:rPr>
            </w:pPr>
            <w:r>
              <w:rPr>
                <w:sz w:val="18"/>
                <w:szCs w:val="18"/>
              </w:rPr>
              <w:lastRenderedPageBreak/>
              <w:t>S</w:t>
            </w:r>
            <w:r w:rsidRPr="0031633C">
              <w:rPr>
                <w:sz w:val="18"/>
                <w:szCs w:val="18"/>
              </w:rPr>
              <w:t>tandards as per tabular values</w:t>
            </w:r>
            <w:r>
              <w:rPr>
                <w:sz w:val="18"/>
                <w:szCs w:val="18"/>
              </w:rPr>
              <w:t xml:space="preserve"> (values for this criterion should increase </w:t>
            </w:r>
            <w:r>
              <w:rPr>
                <w:sz w:val="18"/>
                <w:szCs w:val="18"/>
              </w:rPr>
              <w:lastRenderedPageBreak/>
              <w:t>as standards &gt; minimum requirements)</w:t>
            </w:r>
          </w:p>
        </w:tc>
        <w:tc>
          <w:tcPr>
            <w:tcW w:w="2321" w:type="dxa"/>
            <w:shd w:val="clear" w:color="auto" w:fill="auto"/>
          </w:tcPr>
          <w:p w14:paraId="2936881F" w14:textId="77777777" w:rsidR="009F2080" w:rsidRPr="00776914" w:rsidRDefault="009F2080" w:rsidP="00020B31">
            <w:pPr>
              <w:rPr>
                <w:b/>
                <w:bCs/>
                <w:sz w:val="18"/>
                <w:szCs w:val="18"/>
              </w:rPr>
            </w:pPr>
            <w:r>
              <w:rPr>
                <w:sz w:val="18"/>
                <w:szCs w:val="18"/>
              </w:rPr>
              <w:lastRenderedPageBreak/>
              <w:t>Value range 1-10</w:t>
            </w:r>
          </w:p>
        </w:tc>
        <w:tc>
          <w:tcPr>
            <w:tcW w:w="421" w:type="dxa"/>
          </w:tcPr>
          <w:p w14:paraId="2C10CC94"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3143DC14" w14:textId="77777777" w:rsidTr="00020B31">
        <w:tc>
          <w:tcPr>
            <w:tcW w:w="672" w:type="dxa"/>
          </w:tcPr>
          <w:p w14:paraId="5ABFC4FE" w14:textId="77777777" w:rsidR="009F2080" w:rsidRPr="00776914" w:rsidRDefault="009F2080" w:rsidP="00020B31">
            <w:pPr>
              <w:rPr>
                <w:b/>
                <w:bCs/>
                <w:sz w:val="18"/>
                <w:szCs w:val="18"/>
              </w:rPr>
            </w:pPr>
            <w:r w:rsidRPr="00950487">
              <w:rPr>
                <w:sz w:val="18"/>
                <w:szCs w:val="18"/>
              </w:rPr>
              <w:t>2.1.</w:t>
            </w:r>
            <w:r>
              <w:rPr>
                <w:sz w:val="18"/>
                <w:szCs w:val="18"/>
              </w:rPr>
              <w:t>11</w:t>
            </w:r>
          </w:p>
        </w:tc>
        <w:tc>
          <w:tcPr>
            <w:tcW w:w="1710" w:type="dxa"/>
            <w:shd w:val="clear" w:color="auto" w:fill="auto"/>
          </w:tcPr>
          <w:p w14:paraId="09F52755" w14:textId="77777777" w:rsidR="009F2080" w:rsidRPr="00776914" w:rsidRDefault="009F2080" w:rsidP="00020B31">
            <w:pPr>
              <w:rPr>
                <w:b/>
                <w:bCs/>
                <w:sz w:val="18"/>
                <w:szCs w:val="18"/>
              </w:rPr>
            </w:pPr>
            <w:r w:rsidRPr="00B26A0D">
              <w:rPr>
                <w:rFonts w:cstheme="minorHAnsi"/>
                <w:sz w:val="18"/>
                <w:szCs w:val="18"/>
              </w:rPr>
              <w:t>Whole-life cycle Carbon Assessment</w:t>
            </w:r>
          </w:p>
        </w:tc>
        <w:tc>
          <w:tcPr>
            <w:tcW w:w="1866" w:type="dxa"/>
            <w:shd w:val="clear" w:color="auto" w:fill="auto"/>
          </w:tcPr>
          <w:p w14:paraId="1CF2A04D" w14:textId="77777777" w:rsidR="009F2080" w:rsidRPr="00661BD5" w:rsidRDefault="00D047F3" w:rsidP="00020B31">
            <w:pPr>
              <w:rPr>
                <w:sz w:val="18"/>
                <w:szCs w:val="18"/>
              </w:rPr>
            </w:pPr>
            <w:hyperlink r:id="rId27" w:history="1">
              <w:r w:rsidR="009F2080" w:rsidRPr="003D5E07">
                <w:rPr>
                  <w:rStyle w:val="Hyperlink"/>
                  <w:sz w:val="18"/>
                  <w:szCs w:val="18"/>
                </w:rPr>
                <w:t>As per RICS guidelines</w:t>
              </w:r>
            </w:hyperlink>
          </w:p>
          <w:p w14:paraId="22FC7B32" w14:textId="77777777" w:rsidR="009F2080" w:rsidRPr="00776914" w:rsidRDefault="009F2080" w:rsidP="00020B31">
            <w:pPr>
              <w:rPr>
                <w:b/>
                <w:bCs/>
                <w:sz w:val="18"/>
                <w:szCs w:val="18"/>
              </w:rPr>
            </w:pPr>
          </w:p>
        </w:tc>
        <w:tc>
          <w:tcPr>
            <w:tcW w:w="2026" w:type="dxa"/>
            <w:shd w:val="clear" w:color="auto" w:fill="auto"/>
          </w:tcPr>
          <w:p w14:paraId="4B0F031B"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standards &gt; minimum requirements)</w:t>
            </w:r>
          </w:p>
        </w:tc>
        <w:tc>
          <w:tcPr>
            <w:tcW w:w="2321" w:type="dxa"/>
            <w:shd w:val="clear" w:color="auto" w:fill="auto"/>
          </w:tcPr>
          <w:p w14:paraId="19F709C3" w14:textId="77777777" w:rsidR="009F2080" w:rsidRPr="00776914" w:rsidRDefault="009F2080" w:rsidP="00020B31">
            <w:pPr>
              <w:rPr>
                <w:b/>
                <w:bCs/>
                <w:sz w:val="18"/>
                <w:szCs w:val="18"/>
              </w:rPr>
            </w:pPr>
            <w:r>
              <w:rPr>
                <w:sz w:val="18"/>
                <w:szCs w:val="18"/>
              </w:rPr>
              <w:t>Value range 1-10</w:t>
            </w:r>
          </w:p>
        </w:tc>
        <w:tc>
          <w:tcPr>
            <w:tcW w:w="421" w:type="dxa"/>
          </w:tcPr>
          <w:p w14:paraId="353E4758"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529D0914" w14:textId="77777777" w:rsidTr="00020B31">
        <w:tc>
          <w:tcPr>
            <w:tcW w:w="672" w:type="dxa"/>
          </w:tcPr>
          <w:p w14:paraId="135EAE54" w14:textId="77777777" w:rsidR="009F2080" w:rsidRPr="00776914" w:rsidRDefault="009F2080" w:rsidP="00020B31">
            <w:pPr>
              <w:rPr>
                <w:b/>
                <w:bCs/>
                <w:sz w:val="18"/>
                <w:szCs w:val="18"/>
              </w:rPr>
            </w:pPr>
            <w:r w:rsidRPr="00950487">
              <w:rPr>
                <w:sz w:val="18"/>
                <w:szCs w:val="18"/>
              </w:rPr>
              <w:t>2.1.</w:t>
            </w:r>
            <w:r>
              <w:rPr>
                <w:sz w:val="18"/>
                <w:szCs w:val="18"/>
              </w:rPr>
              <w:t>12</w:t>
            </w:r>
          </w:p>
        </w:tc>
        <w:tc>
          <w:tcPr>
            <w:tcW w:w="1710" w:type="dxa"/>
            <w:shd w:val="clear" w:color="auto" w:fill="auto"/>
          </w:tcPr>
          <w:p w14:paraId="325295CC" w14:textId="77777777" w:rsidR="009F2080" w:rsidRPr="00776914" w:rsidRDefault="009F2080" w:rsidP="00020B31">
            <w:pPr>
              <w:rPr>
                <w:b/>
                <w:bCs/>
                <w:sz w:val="18"/>
                <w:szCs w:val="18"/>
              </w:rPr>
            </w:pPr>
            <w:r w:rsidRPr="00B26A0D">
              <w:rPr>
                <w:rFonts w:cstheme="minorHAnsi"/>
                <w:sz w:val="18"/>
                <w:szCs w:val="18"/>
              </w:rPr>
              <w:t>Be Seen Energy monitoring</w:t>
            </w:r>
          </w:p>
        </w:tc>
        <w:tc>
          <w:tcPr>
            <w:tcW w:w="1866" w:type="dxa"/>
            <w:shd w:val="clear" w:color="auto" w:fill="auto"/>
          </w:tcPr>
          <w:p w14:paraId="25497F50" w14:textId="77777777" w:rsidR="009F2080" w:rsidRPr="007E2DB3" w:rsidRDefault="00D047F3" w:rsidP="00020B31">
            <w:pPr>
              <w:rPr>
                <w:sz w:val="18"/>
                <w:szCs w:val="18"/>
              </w:rPr>
            </w:pPr>
            <w:hyperlink r:id="rId28" w:history="1">
              <w:r w:rsidR="009F2080" w:rsidRPr="007E2DB3">
                <w:rPr>
                  <w:rStyle w:val="Hyperlink"/>
                  <w:sz w:val="18"/>
                  <w:szCs w:val="18"/>
                </w:rPr>
                <w:t>As per Been Seen guidelines</w:t>
              </w:r>
            </w:hyperlink>
            <w:r w:rsidR="009F2080" w:rsidRPr="007E2DB3">
              <w:rPr>
                <w:sz w:val="18"/>
                <w:szCs w:val="18"/>
              </w:rPr>
              <w:t xml:space="preserve"> (London)</w:t>
            </w:r>
          </w:p>
        </w:tc>
        <w:tc>
          <w:tcPr>
            <w:tcW w:w="2026" w:type="dxa"/>
            <w:shd w:val="clear" w:color="auto" w:fill="auto"/>
          </w:tcPr>
          <w:p w14:paraId="0FA5EF7D"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standards &gt; minimum requirements)</w:t>
            </w:r>
          </w:p>
        </w:tc>
        <w:tc>
          <w:tcPr>
            <w:tcW w:w="2321" w:type="dxa"/>
            <w:shd w:val="clear" w:color="auto" w:fill="auto"/>
          </w:tcPr>
          <w:p w14:paraId="6BE15690" w14:textId="77777777" w:rsidR="009F2080" w:rsidRPr="00776914" w:rsidRDefault="009F2080" w:rsidP="00020B31">
            <w:pPr>
              <w:rPr>
                <w:b/>
                <w:bCs/>
                <w:sz w:val="18"/>
                <w:szCs w:val="18"/>
              </w:rPr>
            </w:pPr>
            <w:r>
              <w:rPr>
                <w:sz w:val="18"/>
                <w:szCs w:val="18"/>
              </w:rPr>
              <w:t>Value range 1-10</w:t>
            </w:r>
          </w:p>
        </w:tc>
        <w:tc>
          <w:tcPr>
            <w:tcW w:w="421" w:type="dxa"/>
          </w:tcPr>
          <w:p w14:paraId="3EC2CF71"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0DDB8DF5" w14:textId="77777777" w:rsidTr="00020B31">
        <w:tc>
          <w:tcPr>
            <w:tcW w:w="672" w:type="dxa"/>
          </w:tcPr>
          <w:p w14:paraId="6D7214BC" w14:textId="77777777" w:rsidR="009F2080" w:rsidRDefault="009F2080" w:rsidP="00020B31">
            <w:pPr>
              <w:rPr>
                <w:sz w:val="18"/>
                <w:szCs w:val="18"/>
              </w:rPr>
            </w:pPr>
            <w:r w:rsidRPr="00950487">
              <w:rPr>
                <w:sz w:val="18"/>
                <w:szCs w:val="18"/>
              </w:rPr>
              <w:t>2.1.</w:t>
            </w:r>
            <w:r>
              <w:rPr>
                <w:sz w:val="18"/>
                <w:szCs w:val="18"/>
              </w:rPr>
              <w:t>1</w:t>
            </w:r>
            <w:r w:rsidRPr="00950487">
              <w:rPr>
                <w:sz w:val="18"/>
                <w:szCs w:val="18"/>
              </w:rPr>
              <w:t>3</w:t>
            </w:r>
          </w:p>
          <w:p w14:paraId="4C9273A5" w14:textId="77777777" w:rsidR="009F2080" w:rsidRPr="00776914" w:rsidRDefault="009F2080" w:rsidP="00020B31">
            <w:pPr>
              <w:rPr>
                <w:b/>
                <w:bCs/>
                <w:sz w:val="18"/>
                <w:szCs w:val="18"/>
              </w:rPr>
            </w:pPr>
            <w:r w:rsidRPr="00B32291">
              <w:rPr>
                <w:sz w:val="18"/>
                <w:szCs w:val="18"/>
              </w:rPr>
              <w:t>2.2.</w:t>
            </w:r>
            <w:r>
              <w:rPr>
                <w:sz w:val="18"/>
                <w:szCs w:val="18"/>
              </w:rPr>
              <w:t>4</w:t>
            </w:r>
          </w:p>
        </w:tc>
        <w:tc>
          <w:tcPr>
            <w:tcW w:w="1710" w:type="dxa"/>
            <w:shd w:val="clear" w:color="auto" w:fill="auto"/>
          </w:tcPr>
          <w:p w14:paraId="296B6AD1" w14:textId="77777777" w:rsidR="009F2080" w:rsidRPr="00776914" w:rsidRDefault="009F2080" w:rsidP="00020B31">
            <w:pPr>
              <w:rPr>
                <w:b/>
                <w:bCs/>
                <w:sz w:val="18"/>
                <w:szCs w:val="18"/>
              </w:rPr>
            </w:pPr>
            <w:r w:rsidRPr="00B26A0D">
              <w:rPr>
                <w:rFonts w:cstheme="minorHAnsi"/>
                <w:sz w:val="18"/>
                <w:szCs w:val="18"/>
              </w:rPr>
              <w:t>Air Quality neutral</w:t>
            </w:r>
          </w:p>
        </w:tc>
        <w:tc>
          <w:tcPr>
            <w:tcW w:w="1866" w:type="dxa"/>
            <w:shd w:val="clear" w:color="auto" w:fill="auto"/>
          </w:tcPr>
          <w:p w14:paraId="18EDA0A8" w14:textId="77777777" w:rsidR="009F2080" w:rsidRPr="00776914" w:rsidRDefault="00D047F3" w:rsidP="00020B31">
            <w:pPr>
              <w:rPr>
                <w:b/>
                <w:bCs/>
                <w:sz w:val="18"/>
                <w:szCs w:val="18"/>
              </w:rPr>
            </w:pPr>
            <w:hyperlink r:id="rId29" w:history="1">
              <w:r w:rsidR="009F2080" w:rsidRPr="007E2DB3">
                <w:rPr>
                  <w:rStyle w:val="Hyperlink"/>
                  <w:sz w:val="18"/>
                  <w:szCs w:val="18"/>
                </w:rPr>
                <w:t>As per Been Seen guidelines</w:t>
              </w:r>
            </w:hyperlink>
            <w:r w:rsidR="009F2080" w:rsidRPr="007E2DB3">
              <w:rPr>
                <w:sz w:val="18"/>
                <w:szCs w:val="18"/>
              </w:rPr>
              <w:t xml:space="preserve"> (London)</w:t>
            </w:r>
          </w:p>
        </w:tc>
        <w:tc>
          <w:tcPr>
            <w:tcW w:w="2026" w:type="dxa"/>
            <w:shd w:val="clear" w:color="auto" w:fill="auto"/>
          </w:tcPr>
          <w:p w14:paraId="6F390081"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standards &gt; minimum requirements)</w:t>
            </w:r>
          </w:p>
        </w:tc>
        <w:tc>
          <w:tcPr>
            <w:tcW w:w="2321" w:type="dxa"/>
            <w:shd w:val="clear" w:color="auto" w:fill="auto"/>
          </w:tcPr>
          <w:p w14:paraId="78D54CE5" w14:textId="77777777" w:rsidR="009F2080" w:rsidRPr="00776914" w:rsidRDefault="009F2080" w:rsidP="00020B31">
            <w:pPr>
              <w:rPr>
                <w:b/>
                <w:bCs/>
                <w:sz w:val="18"/>
                <w:szCs w:val="18"/>
              </w:rPr>
            </w:pPr>
            <w:r>
              <w:rPr>
                <w:sz w:val="18"/>
                <w:szCs w:val="18"/>
              </w:rPr>
              <w:t>Value range 1-10</w:t>
            </w:r>
          </w:p>
        </w:tc>
        <w:tc>
          <w:tcPr>
            <w:tcW w:w="421" w:type="dxa"/>
          </w:tcPr>
          <w:p w14:paraId="29F3ED18"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358EA7F3" w14:textId="77777777" w:rsidTr="00020B31">
        <w:tc>
          <w:tcPr>
            <w:tcW w:w="672" w:type="dxa"/>
          </w:tcPr>
          <w:p w14:paraId="3AE1BA7C" w14:textId="77777777" w:rsidR="009F2080" w:rsidRPr="00776914" w:rsidRDefault="009F2080" w:rsidP="00020B31">
            <w:pPr>
              <w:rPr>
                <w:b/>
                <w:bCs/>
                <w:sz w:val="18"/>
                <w:szCs w:val="18"/>
              </w:rPr>
            </w:pPr>
            <w:r w:rsidRPr="00950487">
              <w:rPr>
                <w:sz w:val="18"/>
                <w:szCs w:val="18"/>
              </w:rPr>
              <w:t>2.1.</w:t>
            </w:r>
            <w:r>
              <w:rPr>
                <w:sz w:val="18"/>
                <w:szCs w:val="18"/>
              </w:rPr>
              <w:t>14</w:t>
            </w:r>
          </w:p>
        </w:tc>
        <w:tc>
          <w:tcPr>
            <w:tcW w:w="1710" w:type="dxa"/>
            <w:shd w:val="clear" w:color="auto" w:fill="auto"/>
          </w:tcPr>
          <w:p w14:paraId="00BBEFA8" w14:textId="77777777" w:rsidR="009F2080" w:rsidRPr="00776914" w:rsidRDefault="009F2080" w:rsidP="00020B31">
            <w:pPr>
              <w:rPr>
                <w:b/>
                <w:bCs/>
                <w:sz w:val="18"/>
                <w:szCs w:val="18"/>
              </w:rPr>
            </w:pPr>
            <w:r w:rsidRPr="00B26A0D">
              <w:rPr>
                <w:rFonts w:cstheme="minorHAnsi"/>
                <w:sz w:val="18"/>
                <w:szCs w:val="18"/>
              </w:rPr>
              <w:t>Urban Greening</w:t>
            </w:r>
          </w:p>
        </w:tc>
        <w:tc>
          <w:tcPr>
            <w:tcW w:w="1866" w:type="dxa"/>
            <w:shd w:val="clear" w:color="auto" w:fill="auto"/>
          </w:tcPr>
          <w:p w14:paraId="44E5B3E2" w14:textId="77777777" w:rsidR="009F2080" w:rsidRPr="00776914" w:rsidRDefault="00D047F3" w:rsidP="00020B31">
            <w:pPr>
              <w:rPr>
                <w:b/>
                <w:bCs/>
                <w:sz w:val="18"/>
                <w:szCs w:val="18"/>
              </w:rPr>
            </w:pPr>
            <w:hyperlink r:id="rId30" w:history="1">
              <w:r w:rsidR="009F2080" w:rsidRPr="007E2DB3">
                <w:rPr>
                  <w:rStyle w:val="Hyperlink"/>
                  <w:sz w:val="18"/>
                  <w:szCs w:val="18"/>
                </w:rPr>
                <w:t>As per Been Seen guidelines</w:t>
              </w:r>
            </w:hyperlink>
            <w:r w:rsidR="009F2080" w:rsidRPr="007E2DB3">
              <w:rPr>
                <w:sz w:val="18"/>
                <w:szCs w:val="18"/>
              </w:rPr>
              <w:t xml:space="preserve"> (London)</w:t>
            </w:r>
          </w:p>
        </w:tc>
        <w:tc>
          <w:tcPr>
            <w:tcW w:w="2026" w:type="dxa"/>
            <w:shd w:val="clear" w:color="auto" w:fill="auto"/>
          </w:tcPr>
          <w:p w14:paraId="3B32B341" w14:textId="77777777" w:rsidR="009F2080" w:rsidRPr="00776914" w:rsidRDefault="009F2080" w:rsidP="00020B31">
            <w:pPr>
              <w:rPr>
                <w:b/>
                <w:bCs/>
                <w:sz w:val="18"/>
                <w:szCs w:val="18"/>
              </w:rPr>
            </w:pPr>
            <w:r>
              <w:rPr>
                <w:sz w:val="18"/>
                <w:szCs w:val="18"/>
              </w:rPr>
              <w:t>S</w:t>
            </w:r>
            <w:r w:rsidRPr="0031633C">
              <w:rPr>
                <w:sz w:val="18"/>
                <w:szCs w:val="18"/>
              </w:rPr>
              <w:t>tandards as per tabular values</w:t>
            </w:r>
            <w:r>
              <w:rPr>
                <w:sz w:val="18"/>
                <w:szCs w:val="18"/>
              </w:rPr>
              <w:t xml:space="preserve"> (values for this criterion should increase as standards &gt; minimum requirements)</w:t>
            </w:r>
          </w:p>
        </w:tc>
        <w:tc>
          <w:tcPr>
            <w:tcW w:w="2321" w:type="dxa"/>
            <w:shd w:val="clear" w:color="auto" w:fill="auto"/>
          </w:tcPr>
          <w:p w14:paraId="231394DD" w14:textId="77777777" w:rsidR="009F2080" w:rsidRPr="00776914" w:rsidRDefault="009F2080" w:rsidP="00020B31">
            <w:pPr>
              <w:rPr>
                <w:b/>
                <w:bCs/>
                <w:sz w:val="18"/>
                <w:szCs w:val="18"/>
              </w:rPr>
            </w:pPr>
            <w:r>
              <w:rPr>
                <w:sz w:val="18"/>
                <w:szCs w:val="18"/>
              </w:rPr>
              <w:t>Value range 1-10</w:t>
            </w:r>
          </w:p>
        </w:tc>
        <w:tc>
          <w:tcPr>
            <w:tcW w:w="421" w:type="dxa"/>
          </w:tcPr>
          <w:p w14:paraId="4142AA5E"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00DD5678" w14:textId="77777777" w:rsidTr="00020B31">
        <w:tc>
          <w:tcPr>
            <w:tcW w:w="672" w:type="dxa"/>
          </w:tcPr>
          <w:p w14:paraId="3CCDD9EA" w14:textId="77777777" w:rsidR="009F2080" w:rsidRPr="00776914" w:rsidRDefault="009F2080" w:rsidP="00020B31">
            <w:pPr>
              <w:rPr>
                <w:b/>
                <w:bCs/>
                <w:sz w:val="18"/>
                <w:szCs w:val="18"/>
              </w:rPr>
            </w:pPr>
            <w:r w:rsidRPr="008F7E1A">
              <w:rPr>
                <w:rFonts w:cstheme="minorHAnsi"/>
                <w:sz w:val="18"/>
                <w:szCs w:val="18"/>
              </w:rPr>
              <w:t>2.3.</w:t>
            </w:r>
            <w:r>
              <w:rPr>
                <w:rFonts w:cstheme="minorHAnsi"/>
                <w:sz w:val="18"/>
                <w:szCs w:val="18"/>
              </w:rPr>
              <w:t>3</w:t>
            </w:r>
          </w:p>
        </w:tc>
        <w:tc>
          <w:tcPr>
            <w:tcW w:w="1710" w:type="dxa"/>
            <w:shd w:val="clear" w:color="auto" w:fill="auto"/>
          </w:tcPr>
          <w:p w14:paraId="402DA82B" w14:textId="77777777" w:rsidR="009F2080" w:rsidRPr="00776914" w:rsidRDefault="009F2080" w:rsidP="00020B31">
            <w:pPr>
              <w:rPr>
                <w:b/>
                <w:bCs/>
                <w:sz w:val="18"/>
                <w:szCs w:val="18"/>
              </w:rPr>
            </w:pPr>
            <w:r w:rsidRPr="00101473">
              <w:rPr>
                <w:rFonts w:cstheme="minorHAnsi"/>
                <w:sz w:val="18"/>
                <w:szCs w:val="18"/>
              </w:rPr>
              <w:t>Link to other services</w:t>
            </w:r>
          </w:p>
        </w:tc>
        <w:tc>
          <w:tcPr>
            <w:tcW w:w="1866" w:type="dxa"/>
            <w:shd w:val="clear" w:color="auto" w:fill="auto"/>
          </w:tcPr>
          <w:p w14:paraId="3299625F" w14:textId="77777777" w:rsidR="009F2080" w:rsidRPr="00776914" w:rsidRDefault="009F2080" w:rsidP="00020B31">
            <w:pPr>
              <w:rPr>
                <w:b/>
                <w:bCs/>
                <w:sz w:val="18"/>
                <w:szCs w:val="18"/>
              </w:rPr>
            </w:pPr>
            <w:r>
              <w:rPr>
                <w:sz w:val="18"/>
                <w:szCs w:val="18"/>
              </w:rPr>
              <w:t xml:space="preserve">Number of links to other services for the development </w:t>
            </w:r>
          </w:p>
        </w:tc>
        <w:tc>
          <w:tcPr>
            <w:tcW w:w="2026" w:type="dxa"/>
            <w:shd w:val="clear" w:color="auto" w:fill="auto"/>
          </w:tcPr>
          <w:p w14:paraId="415FADCE" w14:textId="77777777" w:rsidR="009F2080" w:rsidRPr="00776914" w:rsidRDefault="009F2080" w:rsidP="00020B31">
            <w:pPr>
              <w:rPr>
                <w:b/>
                <w:bCs/>
                <w:sz w:val="18"/>
                <w:szCs w:val="18"/>
              </w:rPr>
            </w:pPr>
            <w:r>
              <w:rPr>
                <w:sz w:val="18"/>
                <w:szCs w:val="18"/>
              </w:rPr>
              <w:t xml:space="preserve">Determined by designer </w:t>
            </w:r>
          </w:p>
        </w:tc>
        <w:tc>
          <w:tcPr>
            <w:tcW w:w="2321" w:type="dxa"/>
            <w:shd w:val="clear" w:color="auto" w:fill="auto"/>
          </w:tcPr>
          <w:p w14:paraId="0E9B82C4" w14:textId="77777777" w:rsidR="009F2080" w:rsidRPr="00776914" w:rsidRDefault="009F2080" w:rsidP="00020B31">
            <w:pPr>
              <w:rPr>
                <w:b/>
                <w:bCs/>
                <w:sz w:val="18"/>
                <w:szCs w:val="18"/>
              </w:rPr>
            </w:pPr>
            <w:r>
              <w:rPr>
                <w:sz w:val="18"/>
                <w:szCs w:val="18"/>
              </w:rPr>
              <w:t>Value range 1-10</w:t>
            </w:r>
          </w:p>
        </w:tc>
        <w:tc>
          <w:tcPr>
            <w:tcW w:w="421" w:type="dxa"/>
          </w:tcPr>
          <w:p w14:paraId="7EF46540"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4430734F" w14:textId="77777777" w:rsidTr="00020B31">
        <w:tc>
          <w:tcPr>
            <w:tcW w:w="672" w:type="dxa"/>
          </w:tcPr>
          <w:p w14:paraId="464AE3C7" w14:textId="77777777" w:rsidR="009F2080" w:rsidRPr="00776914" w:rsidRDefault="009F2080" w:rsidP="00020B31">
            <w:pPr>
              <w:rPr>
                <w:b/>
                <w:bCs/>
                <w:sz w:val="18"/>
                <w:szCs w:val="18"/>
              </w:rPr>
            </w:pPr>
            <w:r w:rsidRPr="008F7E1A">
              <w:rPr>
                <w:rFonts w:cstheme="minorHAnsi"/>
                <w:sz w:val="18"/>
                <w:szCs w:val="18"/>
              </w:rPr>
              <w:t>2.3.</w:t>
            </w:r>
            <w:r>
              <w:rPr>
                <w:rFonts w:cstheme="minorHAnsi"/>
                <w:sz w:val="18"/>
                <w:szCs w:val="18"/>
              </w:rPr>
              <w:t>4</w:t>
            </w:r>
          </w:p>
        </w:tc>
        <w:tc>
          <w:tcPr>
            <w:tcW w:w="1710" w:type="dxa"/>
            <w:shd w:val="clear" w:color="auto" w:fill="auto"/>
          </w:tcPr>
          <w:p w14:paraId="42112D40" w14:textId="77777777" w:rsidR="009F2080" w:rsidRPr="00776914" w:rsidRDefault="009F2080" w:rsidP="00020B31">
            <w:pPr>
              <w:rPr>
                <w:b/>
                <w:bCs/>
                <w:sz w:val="18"/>
                <w:szCs w:val="18"/>
              </w:rPr>
            </w:pPr>
            <w:r w:rsidRPr="00101473">
              <w:rPr>
                <w:rFonts w:cstheme="minorHAnsi"/>
                <w:sz w:val="18"/>
                <w:szCs w:val="18"/>
              </w:rPr>
              <w:t>resident led approaches</w:t>
            </w:r>
          </w:p>
        </w:tc>
        <w:tc>
          <w:tcPr>
            <w:tcW w:w="1866" w:type="dxa"/>
            <w:shd w:val="clear" w:color="auto" w:fill="auto"/>
          </w:tcPr>
          <w:p w14:paraId="2801BB08" w14:textId="77777777" w:rsidR="009F2080" w:rsidRPr="00776914" w:rsidRDefault="009F2080" w:rsidP="00020B31">
            <w:pPr>
              <w:rPr>
                <w:b/>
                <w:bCs/>
                <w:sz w:val="18"/>
                <w:szCs w:val="18"/>
              </w:rPr>
            </w:pPr>
          </w:p>
        </w:tc>
        <w:tc>
          <w:tcPr>
            <w:tcW w:w="2026" w:type="dxa"/>
            <w:shd w:val="clear" w:color="auto" w:fill="auto"/>
          </w:tcPr>
          <w:p w14:paraId="6570E005" w14:textId="77777777" w:rsidR="009F2080" w:rsidRPr="00776914" w:rsidRDefault="009F2080" w:rsidP="00020B31">
            <w:pPr>
              <w:rPr>
                <w:b/>
                <w:bCs/>
                <w:sz w:val="18"/>
                <w:szCs w:val="18"/>
              </w:rPr>
            </w:pPr>
            <w:r w:rsidRPr="00405F06">
              <w:rPr>
                <w:sz w:val="18"/>
                <w:szCs w:val="18"/>
              </w:rPr>
              <w:t>Spaces that are conducive to meeting and interaction</w:t>
            </w:r>
          </w:p>
        </w:tc>
        <w:tc>
          <w:tcPr>
            <w:tcW w:w="2321" w:type="dxa"/>
            <w:shd w:val="clear" w:color="auto" w:fill="auto"/>
          </w:tcPr>
          <w:p w14:paraId="364F0FE9" w14:textId="77777777" w:rsidR="009F2080" w:rsidRPr="00776914" w:rsidRDefault="009F2080" w:rsidP="00020B31">
            <w:pPr>
              <w:rPr>
                <w:b/>
                <w:bCs/>
                <w:sz w:val="18"/>
                <w:szCs w:val="18"/>
              </w:rPr>
            </w:pPr>
            <w:r w:rsidRPr="00405F06">
              <w:rPr>
                <w:sz w:val="18"/>
                <w:szCs w:val="18"/>
              </w:rPr>
              <w:t>Area of spaces for interaction</w:t>
            </w:r>
          </w:p>
        </w:tc>
        <w:tc>
          <w:tcPr>
            <w:tcW w:w="421" w:type="dxa"/>
          </w:tcPr>
          <w:p w14:paraId="12222D4C" w14:textId="77777777" w:rsidR="009F2080" w:rsidRPr="00776914" w:rsidRDefault="009F2080" w:rsidP="00020B31">
            <w:pPr>
              <w:rPr>
                <w:b/>
                <w:bCs/>
                <w:sz w:val="18"/>
                <w:szCs w:val="18"/>
              </w:rPr>
            </w:pPr>
            <w:r w:rsidRPr="00287539">
              <w:rPr>
                <w:sz w:val="18"/>
                <w:szCs w:val="18"/>
              </w:rPr>
              <w:t>m</w:t>
            </w:r>
            <w:r w:rsidRPr="00287539">
              <w:rPr>
                <w:sz w:val="18"/>
                <w:szCs w:val="18"/>
                <w:vertAlign w:val="superscript"/>
              </w:rPr>
              <w:t>2</w:t>
            </w:r>
          </w:p>
        </w:tc>
      </w:tr>
      <w:tr w:rsidR="009F2080" w14:paraId="6DAF08D5" w14:textId="77777777" w:rsidTr="00020B31">
        <w:tc>
          <w:tcPr>
            <w:tcW w:w="672" w:type="dxa"/>
          </w:tcPr>
          <w:p w14:paraId="11C4681B" w14:textId="77777777" w:rsidR="009F2080" w:rsidRPr="00776914" w:rsidRDefault="009F2080" w:rsidP="00020B31">
            <w:pPr>
              <w:rPr>
                <w:b/>
                <w:bCs/>
                <w:sz w:val="18"/>
                <w:szCs w:val="18"/>
              </w:rPr>
            </w:pPr>
            <w:r w:rsidRPr="008F7E1A">
              <w:rPr>
                <w:rFonts w:cstheme="minorHAnsi"/>
                <w:sz w:val="18"/>
                <w:szCs w:val="18"/>
              </w:rPr>
              <w:t>2.3.</w:t>
            </w:r>
            <w:r>
              <w:rPr>
                <w:rFonts w:cstheme="minorHAnsi"/>
                <w:sz w:val="18"/>
                <w:szCs w:val="18"/>
              </w:rPr>
              <w:t>5</w:t>
            </w:r>
          </w:p>
        </w:tc>
        <w:tc>
          <w:tcPr>
            <w:tcW w:w="1710" w:type="dxa"/>
            <w:shd w:val="clear" w:color="auto" w:fill="auto"/>
          </w:tcPr>
          <w:p w14:paraId="36DA9572" w14:textId="77777777" w:rsidR="009F2080" w:rsidRPr="00776914" w:rsidRDefault="009F2080" w:rsidP="00020B31">
            <w:pPr>
              <w:rPr>
                <w:b/>
                <w:bCs/>
                <w:sz w:val="18"/>
                <w:szCs w:val="18"/>
              </w:rPr>
            </w:pPr>
            <w:r w:rsidRPr="00101473">
              <w:rPr>
                <w:rFonts w:cstheme="minorHAnsi"/>
                <w:sz w:val="18"/>
                <w:szCs w:val="18"/>
              </w:rPr>
              <w:t>anti-social behaviour (ASB)</w:t>
            </w:r>
          </w:p>
        </w:tc>
        <w:tc>
          <w:tcPr>
            <w:tcW w:w="1866" w:type="dxa"/>
            <w:shd w:val="clear" w:color="auto" w:fill="auto"/>
          </w:tcPr>
          <w:p w14:paraId="7AA414BF" w14:textId="77777777" w:rsidR="009F2080" w:rsidRPr="00BE7E75" w:rsidRDefault="009F2080" w:rsidP="00020B31">
            <w:pPr>
              <w:rPr>
                <w:sz w:val="18"/>
                <w:szCs w:val="18"/>
              </w:rPr>
            </w:pPr>
            <w:r w:rsidRPr="00BE7E75">
              <w:rPr>
                <w:sz w:val="18"/>
                <w:szCs w:val="18"/>
              </w:rPr>
              <w:t>Level of transparency within the development (</w:t>
            </w:r>
            <w:r>
              <w:rPr>
                <w:sz w:val="18"/>
                <w:szCs w:val="18"/>
              </w:rPr>
              <w:t xml:space="preserve">eg </w:t>
            </w:r>
            <w:r w:rsidRPr="00BE7E75">
              <w:rPr>
                <w:sz w:val="18"/>
                <w:szCs w:val="18"/>
              </w:rPr>
              <w:t>windows facing open spaces)</w:t>
            </w:r>
          </w:p>
        </w:tc>
        <w:tc>
          <w:tcPr>
            <w:tcW w:w="2026" w:type="dxa"/>
            <w:shd w:val="clear" w:color="auto" w:fill="auto"/>
          </w:tcPr>
          <w:p w14:paraId="03BCD788" w14:textId="77777777" w:rsidR="009F2080" w:rsidRPr="00776914" w:rsidRDefault="009F2080" w:rsidP="00020B31">
            <w:pPr>
              <w:rPr>
                <w:b/>
                <w:bCs/>
                <w:sz w:val="18"/>
                <w:szCs w:val="18"/>
              </w:rPr>
            </w:pPr>
            <w:r>
              <w:rPr>
                <w:sz w:val="18"/>
                <w:szCs w:val="18"/>
              </w:rPr>
              <w:t xml:space="preserve">Determined by designer </w:t>
            </w:r>
          </w:p>
        </w:tc>
        <w:tc>
          <w:tcPr>
            <w:tcW w:w="2321" w:type="dxa"/>
            <w:shd w:val="clear" w:color="auto" w:fill="auto"/>
          </w:tcPr>
          <w:p w14:paraId="7EA51E7F" w14:textId="77777777" w:rsidR="009F2080" w:rsidRPr="00776914" w:rsidRDefault="009F2080" w:rsidP="00020B31">
            <w:pPr>
              <w:rPr>
                <w:b/>
                <w:bCs/>
                <w:sz w:val="18"/>
                <w:szCs w:val="18"/>
              </w:rPr>
            </w:pPr>
            <w:r>
              <w:rPr>
                <w:sz w:val="18"/>
                <w:szCs w:val="18"/>
              </w:rPr>
              <w:t>Value range 1-10</w:t>
            </w:r>
          </w:p>
        </w:tc>
        <w:tc>
          <w:tcPr>
            <w:tcW w:w="421" w:type="dxa"/>
          </w:tcPr>
          <w:p w14:paraId="1F8FE0C8" w14:textId="77777777" w:rsidR="009F2080" w:rsidRPr="00776914" w:rsidRDefault="009F2080" w:rsidP="00020B31">
            <w:pPr>
              <w:rPr>
                <w:b/>
                <w:bCs/>
                <w:sz w:val="18"/>
                <w:szCs w:val="18"/>
              </w:rPr>
            </w:pPr>
            <w:r w:rsidRPr="00BB2306">
              <w:rPr>
                <w:rFonts w:ascii="Cambria Math" w:hAnsi="Cambria Math" w:cs="Cambria Math"/>
                <w:sz w:val="18"/>
                <w:szCs w:val="18"/>
              </w:rPr>
              <w:t>ℤ</w:t>
            </w:r>
          </w:p>
        </w:tc>
      </w:tr>
      <w:tr w:rsidR="009F2080" w14:paraId="184993F3" w14:textId="77777777" w:rsidTr="00020B31">
        <w:tc>
          <w:tcPr>
            <w:tcW w:w="672" w:type="dxa"/>
          </w:tcPr>
          <w:p w14:paraId="6EF2CBB6" w14:textId="77777777" w:rsidR="009F2080" w:rsidRDefault="009F2080" w:rsidP="00020B31">
            <w:pPr>
              <w:tabs>
                <w:tab w:val="left" w:pos="3767"/>
              </w:tabs>
              <w:jc w:val="center"/>
              <w:rPr>
                <w:sz w:val="18"/>
                <w:szCs w:val="18"/>
              </w:rPr>
            </w:pPr>
          </w:p>
        </w:tc>
        <w:tc>
          <w:tcPr>
            <w:tcW w:w="7923" w:type="dxa"/>
            <w:gridSpan w:val="4"/>
          </w:tcPr>
          <w:p w14:paraId="737DFA87" w14:textId="77777777" w:rsidR="009F2080" w:rsidRPr="00930041" w:rsidRDefault="009F2080" w:rsidP="00020B31">
            <w:pPr>
              <w:tabs>
                <w:tab w:val="left" w:pos="3767"/>
              </w:tabs>
              <w:jc w:val="center"/>
              <w:rPr>
                <w:b/>
                <w:bCs/>
                <w:sz w:val="18"/>
                <w:szCs w:val="18"/>
              </w:rPr>
            </w:pPr>
            <w:r w:rsidRPr="00930041">
              <w:rPr>
                <w:b/>
                <w:bCs/>
                <w:sz w:val="18"/>
                <w:szCs w:val="18"/>
              </w:rPr>
              <w:t>Dataset 3: Spatial urban features</w:t>
            </w:r>
          </w:p>
        </w:tc>
        <w:tc>
          <w:tcPr>
            <w:tcW w:w="421" w:type="dxa"/>
          </w:tcPr>
          <w:p w14:paraId="4300FF29" w14:textId="77777777" w:rsidR="009F2080" w:rsidRPr="00930041" w:rsidRDefault="009F2080" w:rsidP="00020B31">
            <w:pPr>
              <w:tabs>
                <w:tab w:val="left" w:pos="3767"/>
              </w:tabs>
              <w:jc w:val="center"/>
              <w:rPr>
                <w:b/>
                <w:bCs/>
                <w:sz w:val="18"/>
                <w:szCs w:val="18"/>
              </w:rPr>
            </w:pPr>
          </w:p>
        </w:tc>
      </w:tr>
      <w:tr w:rsidR="009F2080" w14:paraId="7F0E512B" w14:textId="77777777" w:rsidTr="00020B31">
        <w:tc>
          <w:tcPr>
            <w:tcW w:w="672" w:type="dxa"/>
          </w:tcPr>
          <w:p w14:paraId="59BD92C3" w14:textId="77777777" w:rsidR="009F2080" w:rsidRPr="00BB57E2" w:rsidRDefault="009F2080" w:rsidP="00020B31">
            <w:pPr>
              <w:rPr>
                <w:sz w:val="18"/>
                <w:szCs w:val="18"/>
              </w:rPr>
            </w:pPr>
            <w:r>
              <w:rPr>
                <w:rFonts w:cstheme="minorHAnsi"/>
                <w:sz w:val="18"/>
                <w:szCs w:val="18"/>
              </w:rPr>
              <w:t>3.1.1</w:t>
            </w:r>
          </w:p>
        </w:tc>
        <w:tc>
          <w:tcPr>
            <w:tcW w:w="1710" w:type="dxa"/>
          </w:tcPr>
          <w:p w14:paraId="58B4399A" w14:textId="77777777" w:rsidR="009F2080" w:rsidRPr="00BB57E2" w:rsidRDefault="009F2080" w:rsidP="00020B31">
            <w:pPr>
              <w:rPr>
                <w:sz w:val="18"/>
                <w:szCs w:val="18"/>
              </w:rPr>
            </w:pPr>
            <w:r w:rsidRPr="00BB57E2">
              <w:rPr>
                <w:sz w:val="18"/>
                <w:szCs w:val="18"/>
              </w:rPr>
              <w:t>transportation facilities</w:t>
            </w:r>
          </w:p>
        </w:tc>
        <w:tc>
          <w:tcPr>
            <w:tcW w:w="1866" w:type="dxa"/>
          </w:tcPr>
          <w:p w14:paraId="15129EF7" w14:textId="77777777" w:rsidR="009F2080" w:rsidRPr="00BB57E2" w:rsidRDefault="009F2080" w:rsidP="00020B31">
            <w:pPr>
              <w:rPr>
                <w:sz w:val="18"/>
                <w:szCs w:val="18"/>
              </w:rPr>
            </w:pPr>
            <w:r w:rsidRPr="00BB57E2">
              <w:rPr>
                <w:sz w:val="18"/>
                <w:szCs w:val="18"/>
              </w:rPr>
              <w:t>train and underground stations, bus stops and airports</w:t>
            </w:r>
          </w:p>
        </w:tc>
        <w:tc>
          <w:tcPr>
            <w:tcW w:w="2026" w:type="dxa"/>
          </w:tcPr>
          <w:p w14:paraId="0669314A" w14:textId="77777777" w:rsidR="009F2080" w:rsidRPr="00BB57E2" w:rsidRDefault="009F2080" w:rsidP="00020B31">
            <w:pPr>
              <w:rPr>
                <w:sz w:val="18"/>
                <w:szCs w:val="18"/>
              </w:rPr>
            </w:pPr>
            <w:r w:rsidRPr="00BB57E2">
              <w:rPr>
                <w:sz w:val="18"/>
                <w:szCs w:val="18"/>
              </w:rPr>
              <w:t>Proximity to facility</w:t>
            </w:r>
          </w:p>
          <w:p w14:paraId="0C94A945" w14:textId="77777777" w:rsidR="009F2080" w:rsidRPr="00BB57E2" w:rsidRDefault="009F2080" w:rsidP="00020B31">
            <w:pPr>
              <w:rPr>
                <w:sz w:val="18"/>
                <w:szCs w:val="18"/>
              </w:rPr>
            </w:pPr>
          </w:p>
          <w:p w14:paraId="3E2E772F" w14:textId="77777777" w:rsidR="009F2080" w:rsidRPr="00BB57E2" w:rsidRDefault="009F2080" w:rsidP="00020B31">
            <w:pPr>
              <w:rPr>
                <w:sz w:val="18"/>
                <w:szCs w:val="18"/>
              </w:rPr>
            </w:pPr>
          </w:p>
          <w:p w14:paraId="179F2BFB" w14:textId="77777777" w:rsidR="009F2080" w:rsidRPr="00BB57E2" w:rsidRDefault="009F2080" w:rsidP="00020B31">
            <w:pPr>
              <w:rPr>
                <w:sz w:val="18"/>
                <w:szCs w:val="18"/>
              </w:rPr>
            </w:pPr>
            <w:r w:rsidRPr="00BB57E2">
              <w:rPr>
                <w:sz w:val="18"/>
                <w:szCs w:val="18"/>
              </w:rPr>
              <w:t>Number of facilities in area (radius to specify)</w:t>
            </w:r>
          </w:p>
        </w:tc>
        <w:tc>
          <w:tcPr>
            <w:tcW w:w="2321" w:type="dxa"/>
          </w:tcPr>
          <w:p w14:paraId="5066F0DC" w14:textId="77777777" w:rsidR="009F2080" w:rsidRPr="00BB57E2" w:rsidRDefault="009F2080" w:rsidP="00020B31">
            <w:pPr>
              <w:rPr>
                <w:sz w:val="18"/>
                <w:szCs w:val="18"/>
              </w:rPr>
            </w:pPr>
            <w:r w:rsidRPr="00BB57E2">
              <w:rPr>
                <w:sz w:val="18"/>
                <w:szCs w:val="18"/>
              </w:rPr>
              <w:t>Metres, walking distance</w:t>
            </w:r>
          </w:p>
          <w:p w14:paraId="1832F600" w14:textId="77777777" w:rsidR="009F2080" w:rsidRDefault="009F2080" w:rsidP="00020B31">
            <w:pPr>
              <w:rPr>
                <w:sz w:val="18"/>
                <w:szCs w:val="18"/>
              </w:rPr>
            </w:pPr>
          </w:p>
          <w:p w14:paraId="76141BD0" w14:textId="77777777" w:rsidR="009F2080" w:rsidRPr="00BB57E2" w:rsidRDefault="009F2080" w:rsidP="00020B31">
            <w:pPr>
              <w:rPr>
                <w:sz w:val="18"/>
                <w:szCs w:val="18"/>
              </w:rPr>
            </w:pPr>
          </w:p>
          <w:p w14:paraId="7C7BF524" w14:textId="77777777" w:rsidR="009F2080" w:rsidRPr="00BB57E2" w:rsidRDefault="009F2080" w:rsidP="00020B31">
            <w:pPr>
              <w:rPr>
                <w:sz w:val="18"/>
                <w:szCs w:val="18"/>
              </w:rPr>
            </w:pPr>
            <w:r w:rsidRPr="00BB57E2">
              <w:rPr>
                <w:sz w:val="18"/>
                <w:szCs w:val="18"/>
              </w:rPr>
              <w:t>Integer</w:t>
            </w:r>
          </w:p>
        </w:tc>
        <w:tc>
          <w:tcPr>
            <w:tcW w:w="421" w:type="dxa"/>
          </w:tcPr>
          <w:p w14:paraId="3A786C93" w14:textId="77777777" w:rsidR="009F2080" w:rsidRDefault="009F2080" w:rsidP="00020B31">
            <w:pPr>
              <w:rPr>
                <w:sz w:val="18"/>
                <w:szCs w:val="18"/>
              </w:rPr>
            </w:pPr>
            <w:r>
              <w:rPr>
                <w:sz w:val="18"/>
                <w:szCs w:val="18"/>
              </w:rPr>
              <w:t>m</w:t>
            </w:r>
          </w:p>
          <w:p w14:paraId="38EA1F0A" w14:textId="77777777" w:rsidR="009F2080" w:rsidRDefault="009F2080" w:rsidP="00020B31">
            <w:pPr>
              <w:rPr>
                <w:sz w:val="18"/>
                <w:szCs w:val="18"/>
              </w:rPr>
            </w:pPr>
          </w:p>
          <w:p w14:paraId="08B5A218" w14:textId="77777777" w:rsidR="009F2080" w:rsidRDefault="009F2080" w:rsidP="00020B31">
            <w:pPr>
              <w:rPr>
                <w:sz w:val="18"/>
                <w:szCs w:val="18"/>
              </w:rPr>
            </w:pPr>
          </w:p>
          <w:p w14:paraId="3B1835EE" w14:textId="77777777" w:rsidR="009F2080" w:rsidRDefault="009F2080" w:rsidP="00020B31">
            <w:pPr>
              <w:rPr>
                <w:sz w:val="18"/>
                <w:szCs w:val="18"/>
              </w:rPr>
            </w:pPr>
            <w:r w:rsidRPr="00BB2306">
              <w:rPr>
                <w:rFonts w:ascii="Cambria Math" w:hAnsi="Cambria Math" w:cs="Cambria Math"/>
                <w:sz w:val="18"/>
                <w:szCs w:val="18"/>
              </w:rPr>
              <w:t>ℤ</w:t>
            </w:r>
          </w:p>
          <w:p w14:paraId="2AD9C2AE" w14:textId="77777777" w:rsidR="009F2080" w:rsidRPr="00BB57E2" w:rsidRDefault="009F2080" w:rsidP="00020B31">
            <w:pPr>
              <w:rPr>
                <w:sz w:val="18"/>
                <w:szCs w:val="18"/>
              </w:rPr>
            </w:pPr>
          </w:p>
        </w:tc>
      </w:tr>
      <w:tr w:rsidR="009F2080" w14:paraId="34A68C10" w14:textId="77777777" w:rsidTr="00020B31">
        <w:tc>
          <w:tcPr>
            <w:tcW w:w="672" w:type="dxa"/>
          </w:tcPr>
          <w:p w14:paraId="634CD528" w14:textId="77777777" w:rsidR="009F2080" w:rsidRPr="00BB57E2" w:rsidRDefault="009F2080" w:rsidP="00020B31">
            <w:pPr>
              <w:rPr>
                <w:sz w:val="18"/>
                <w:szCs w:val="18"/>
              </w:rPr>
            </w:pPr>
            <w:r w:rsidRPr="00DD7F44">
              <w:rPr>
                <w:rFonts w:cstheme="minorHAnsi"/>
                <w:sz w:val="18"/>
                <w:szCs w:val="18"/>
              </w:rPr>
              <w:t>3.1.</w:t>
            </w:r>
            <w:r>
              <w:rPr>
                <w:rFonts w:cstheme="minorHAnsi"/>
                <w:sz w:val="18"/>
                <w:szCs w:val="18"/>
              </w:rPr>
              <w:t>2</w:t>
            </w:r>
          </w:p>
        </w:tc>
        <w:tc>
          <w:tcPr>
            <w:tcW w:w="1710" w:type="dxa"/>
          </w:tcPr>
          <w:p w14:paraId="159A4729" w14:textId="77777777" w:rsidR="009F2080" w:rsidRPr="00BB57E2" w:rsidRDefault="009F2080" w:rsidP="00020B31">
            <w:pPr>
              <w:rPr>
                <w:sz w:val="18"/>
                <w:szCs w:val="18"/>
              </w:rPr>
            </w:pPr>
            <w:r w:rsidRPr="00BB57E2">
              <w:rPr>
                <w:sz w:val="18"/>
                <w:szCs w:val="18"/>
              </w:rPr>
              <w:t xml:space="preserve">educational buildings </w:t>
            </w:r>
          </w:p>
        </w:tc>
        <w:tc>
          <w:tcPr>
            <w:tcW w:w="1866" w:type="dxa"/>
          </w:tcPr>
          <w:p w14:paraId="5AA8AB63" w14:textId="77777777" w:rsidR="009F2080" w:rsidRPr="00BB57E2" w:rsidRDefault="009F2080" w:rsidP="00020B31">
            <w:pPr>
              <w:rPr>
                <w:sz w:val="18"/>
                <w:szCs w:val="18"/>
              </w:rPr>
            </w:pPr>
            <w:r w:rsidRPr="00BB57E2">
              <w:rPr>
                <w:sz w:val="18"/>
                <w:szCs w:val="18"/>
              </w:rPr>
              <w:t>primary and secondary schools, crèches and nurseries, universities and public libraries</w:t>
            </w:r>
          </w:p>
        </w:tc>
        <w:tc>
          <w:tcPr>
            <w:tcW w:w="2026" w:type="dxa"/>
          </w:tcPr>
          <w:p w14:paraId="13C3D759" w14:textId="77777777" w:rsidR="009F2080" w:rsidRPr="00BB57E2" w:rsidRDefault="009F2080" w:rsidP="00020B31">
            <w:pPr>
              <w:rPr>
                <w:sz w:val="18"/>
                <w:szCs w:val="18"/>
              </w:rPr>
            </w:pPr>
            <w:r w:rsidRPr="00BB57E2">
              <w:rPr>
                <w:sz w:val="18"/>
                <w:szCs w:val="18"/>
              </w:rPr>
              <w:t>Proximity to facility</w:t>
            </w:r>
          </w:p>
          <w:p w14:paraId="5B2937C3" w14:textId="77777777" w:rsidR="009F2080" w:rsidRPr="00BB57E2" w:rsidRDefault="009F2080" w:rsidP="00020B31">
            <w:pPr>
              <w:rPr>
                <w:sz w:val="18"/>
                <w:szCs w:val="18"/>
              </w:rPr>
            </w:pPr>
          </w:p>
          <w:p w14:paraId="574D2A27" w14:textId="77777777" w:rsidR="009F2080" w:rsidRPr="00BB57E2" w:rsidRDefault="009F2080" w:rsidP="00020B31">
            <w:pPr>
              <w:rPr>
                <w:sz w:val="18"/>
                <w:szCs w:val="18"/>
              </w:rPr>
            </w:pPr>
          </w:p>
          <w:p w14:paraId="4656ECBD" w14:textId="77777777" w:rsidR="009F2080" w:rsidRPr="00BB57E2" w:rsidRDefault="009F2080" w:rsidP="00020B31">
            <w:pPr>
              <w:rPr>
                <w:sz w:val="18"/>
                <w:szCs w:val="18"/>
              </w:rPr>
            </w:pPr>
            <w:r w:rsidRPr="00BB57E2">
              <w:rPr>
                <w:sz w:val="18"/>
                <w:szCs w:val="18"/>
              </w:rPr>
              <w:t>Number of facilities in area (radius to specify)</w:t>
            </w:r>
          </w:p>
        </w:tc>
        <w:tc>
          <w:tcPr>
            <w:tcW w:w="2321" w:type="dxa"/>
          </w:tcPr>
          <w:p w14:paraId="0FC4EEF2" w14:textId="77777777" w:rsidR="009F2080" w:rsidRPr="00BB57E2" w:rsidRDefault="009F2080" w:rsidP="00020B31">
            <w:pPr>
              <w:rPr>
                <w:sz w:val="18"/>
                <w:szCs w:val="18"/>
              </w:rPr>
            </w:pPr>
            <w:r w:rsidRPr="00BB57E2">
              <w:rPr>
                <w:sz w:val="18"/>
                <w:szCs w:val="18"/>
              </w:rPr>
              <w:t>Metres, walking distance</w:t>
            </w:r>
          </w:p>
          <w:p w14:paraId="110F7D0E" w14:textId="77777777" w:rsidR="009F2080" w:rsidRDefault="009F2080" w:rsidP="00020B31">
            <w:pPr>
              <w:rPr>
                <w:sz w:val="18"/>
                <w:szCs w:val="18"/>
              </w:rPr>
            </w:pPr>
          </w:p>
          <w:p w14:paraId="1A3D2BF9" w14:textId="77777777" w:rsidR="009F2080" w:rsidRPr="00BB57E2" w:rsidRDefault="009F2080" w:rsidP="00020B31">
            <w:pPr>
              <w:rPr>
                <w:sz w:val="18"/>
                <w:szCs w:val="18"/>
              </w:rPr>
            </w:pPr>
          </w:p>
          <w:p w14:paraId="37CCB78A" w14:textId="77777777" w:rsidR="009F2080" w:rsidRPr="00BB57E2" w:rsidRDefault="009F2080" w:rsidP="00020B31">
            <w:pPr>
              <w:rPr>
                <w:sz w:val="18"/>
                <w:szCs w:val="18"/>
              </w:rPr>
            </w:pPr>
            <w:r w:rsidRPr="00BB57E2">
              <w:rPr>
                <w:sz w:val="18"/>
                <w:szCs w:val="18"/>
              </w:rPr>
              <w:t>Integer</w:t>
            </w:r>
          </w:p>
        </w:tc>
        <w:tc>
          <w:tcPr>
            <w:tcW w:w="421" w:type="dxa"/>
          </w:tcPr>
          <w:p w14:paraId="43A9F8EE" w14:textId="77777777" w:rsidR="009F2080" w:rsidRDefault="009F2080" w:rsidP="00020B31">
            <w:pPr>
              <w:rPr>
                <w:sz w:val="18"/>
                <w:szCs w:val="18"/>
              </w:rPr>
            </w:pPr>
            <w:r>
              <w:rPr>
                <w:sz w:val="18"/>
                <w:szCs w:val="18"/>
              </w:rPr>
              <w:t>m</w:t>
            </w:r>
          </w:p>
          <w:p w14:paraId="6ABFAD75" w14:textId="77777777" w:rsidR="009F2080" w:rsidRDefault="009F2080" w:rsidP="00020B31">
            <w:pPr>
              <w:rPr>
                <w:sz w:val="18"/>
                <w:szCs w:val="18"/>
              </w:rPr>
            </w:pPr>
          </w:p>
          <w:p w14:paraId="566E4A07" w14:textId="77777777" w:rsidR="009F2080" w:rsidRDefault="009F2080" w:rsidP="00020B31">
            <w:pPr>
              <w:rPr>
                <w:sz w:val="18"/>
                <w:szCs w:val="18"/>
              </w:rPr>
            </w:pPr>
          </w:p>
          <w:p w14:paraId="601AD74B" w14:textId="77777777" w:rsidR="009F2080" w:rsidRDefault="009F2080" w:rsidP="00020B31">
            <w:pPr>
              <w:rPr>
                <w:sz w:val="18"/>
                <w:szCs w:val="18"/>
              </w:rPr>
            </w:pPr>
            <w:r w:rsidRPr="00BB2306">
              <w:rPr>
                <w:rFonts w:ascii="Cambria Math" w:hAnsi="Cambria Math" w:cs="Cambria Math"/>
                <w:sz w:val="18"/>
                <w:szCs w:val="18"/>
              </w:rPr>
              <w:t>ℤ</w:t>
            </w:r>
          </w:p>
          <w:p w14:paraId="00C22F8B" w14:textId="77777777" w:rsidR="009F2080" w:rsidRPr="00BB57E2" w:rsidRDefault="009F2080" w:rsidP="00020B31">
            <w:pPr>
              <w:rPr>
                <w:sz w:val="18"/>
                <w:szCs w:val="18"/>
              </w:rPr>
            </w:pPr>
          </w:p>
        </w:tc>
      </w:tr>
      <w:tr w:rsidR="009F2080" w14:paraId="258E3A7C" w14:textId="77777777" w:rsidTr="00020B31">
        <w:tc>
          <w:tcPr>
            <w:tcW w:w="672" w:type="dxa"/>
          </w:tcPr>
          <w:p w14:paraId="74580DDD" w14:textId="77777777" w:rsidR="009F2080" w:rsidRPr="00BB57E2" w:rsidRDefault="009F2080" w:rsidP="00020B31">
            <w:pPr>
              <w:rPr>
                <w:sz w:val="18"/>
                <w:szCs w:val="18"/>
              </w:rPr>
            </w:pPr>
            <w:r w:rsidRPr="00DD7F44">
              <w:rPr>
                <w:rFonts w:cstheme="minorHAnsi"/>
                <w:sz w:val="18"/>
                <w:szCs w:val="18"/>
              </w:rPr>
              <w:t>3.1.</w:t>
            </w:r>
            <w:r>
              <w:rPr>
                <w:rFonts w:cstheme="minorHAnsi"/>
                <w:sz w:val="18"/>
                <w:szCs w:val="18"/>
              </w:rPr>
              <w:t>3</w:t>
            </w:r>
          </w:p>
        </w:tc>
        <w:tc>
          <w:tcPr>
            <w:tcW w:w="1710" w:type="dxa"/>
          </w:tcPr>
          <w:p w14:paraId="7118CAA2" w14:textId="77777777" w:rsidR="009F2080" w:rsidRPr="00BB57E2" w:rsidRDefault="009F2080" w:rsidP="00020B31">
            <w:pPr>
              <w:rPr>
                <w:sz w:val="18"/>
                <w:szCs w:val="18"/>
              </w:rPr>
            </w:pPr>
            <w:r w:rsidRPr="00BB57E2">
              <w:rPr>
                <w:sz w:val="18"/>
                <w:szCs w:val="18"/>
              </w:rPr>
              <w:t>entertainment facilities for sport and recreation</w:t>
            </w:r>
          </w:p>
        </w:tc>
        <w:tc>
          <w:tcPr>
            <w:tcW w:w="1866" w:type="dxa"/>
          </w:tcPr>
          <w:p w14:paraId="5F22AE4C" w14:textId="77777777" w:rsidR="009F2080" w:rsidRPr="00BB57E2" w:rsidRDefault="009F2080" w:rsidP="00020B31">
            <w:pPr>
              <w:rPr>
                <w:sz w:val="18"/>
                <w:szCs w:val="18"/>
              </w:rPr>
            </w:pPr>
            <w:r w:rsidRPr="00BB57E2">
              <w:rPr>
                <w:sz w:val="18"/>
                <w:szCs w:val="18"/>
              </w:rPr>
              <w:t>Skateparks, swimming pools, sport fields, stadiums</w:t>
            </w:r>
          </w:p>
        </w:tc>
        <w:tc>
          <w:tcPr>
            <w:tcW w:w="2026" w:type="dxa"/>
          </w:tcPr>
          <w:p w14:paraId="508586C7" w14:textId="77777777" w:rsidR="009F2080" w:rsidRPr="00BB57E2" w:rsidRDefault="009F2080" w:rsidP="00020B31">
            <w:pPr>
              <w:rPr>
                <w:sz w:val="18"/>
                <w:szCs w:val="18"/>
              </w:rPr>
            </w:pPr>
            <w:r w:rsidRPr="00BB57E2">
              <w:rPr>
                <w:sz w:val="18"/>
                <w:szCs w:val="18"/>
              </w:rPr>
              <w:t>Proximity to facility</w:t>
            </w:r>
          </w:p>
          <w:p w14:paraId="2D907316" w14:textId="77777777" w:rsidR="009F2080" w:rsidRPr="00BB57E2" w:rsidRDefault="009F2080" w:rsidP="00020B31">
            <w:pPr>
              <w:rPr>
                <w:sz w:val="18"/>
                <w:szCs w:val="18"/>
              </w:rPr>
            </w:pPr>
          </w:p>
          <w:p w14:paraId="199BD0F6" w14:textId="77777777" w:rsidR="009F2080" w:rsidRPr="00BB57E2" w:rsidRDefault="009F2080" w:rsidP="00020B31">
            <w:pPr>
              <w:rPr>
                <w:sz w:val="18"/>
                <w:szCs w:val="18"/>
              </w:rPr>
            </w:pPr>
          </w:p>
          <w:p w14:paraId="09AC292A" w14:textId="77777777" w:rsidR="009F2080" w:rsidRPr="00BB57E2" w:rsidRDefault="009F2080" w:rsidP="00020B31">
            <w:pPr>
              <w:rPr>
                <w:sz w:val="18"/>
                <w:szCs w:val="18"/>
              </w:rPr>
            </w:pPr>
            <w:r w:rsidRPr="00BB57E2">
              <w:rPr>
                <w:sz w:val="18"/>
                <w:szCs w:val="18"/>
              </w:rPr>
              <w:t>Number of facilities in area (radius to specify)</w:t>
            </w:r>
          </w:p>
        </w:tc>
        <w:tc>
          <w:tcPr>
            <w:tcW w:w="2321" w:type="dxa"/>
          </w:tcPr>
          <w:p w14:paraId="2CB3E1C9" w14:textId="77777777" w:rsidR="009F2080" w:rsidRPr="00BB57E2" w:rsidRDefault="009F2080" w:rsidP="00020B31">
            <w:pPr>
              <w:rPr>
                <w:sz w:val="18"/>
                <w:szCs w:val="18"/>
              </w:rPr>
            </w:pPr>
            <w:r w:rsidRPr="00BB57E2">
              <w:rPr>
                <w:sz w:val="18"/>
                <w:szCs w:val="18"/>
              </w:rPr>
              <w:t>Metres, walking distance</w:t>
            </w:r>
          </w:p>
          <w:p w14:paraId="0BE9B856" w14:textId="77777777" w:rsidR="009F2080" w:rsidRDefault="009F2080" w:rsidP="00020B31">
            <w:pPr>
              <w:rPr>
                <w:sz w:val="18"/>
                <w:szCs w:val="18"/>
              </w:rPr>
            </w:pPr>
          </w:p>
          <w:p w14:paraId="20516654" w14:textId="77777777" w:rsidR="009F2080" w:rsidRPr="00BB57E2" w:rsidRDefault="009F2080" w:rsidP="00020B31">
            <w:pPr>
              <w:rPr>
                <w:sz w:val="18"/>
                <w:szCs w:val="18"/>
              </w:rPr>
            </w:pPr>
          </w:p>
          <w:p w14:paraId="6DCF68FF" w14:textId="77777777" w:rsidR="009F2080" w:rsidRPr="00BB57E2" w:rsidRDefault="009F2080" w:rsidP="00020B31">
            <w:pPr>
              <w:rPr>
                <w:sz w:val="18"/>
                <w:szCs w:val="18"/>
              </w:rPr>
            </w:pPr>
            <w:r w:rsidRPr="00BB57E2">
              <w:rPr>
                <w:sz w:val="18"/>
                <w:szCs w:val="18"/>
              </w:rPr>
              <w:t>Integer</w:t>
            </w:r>
          </w:p>
        </w:tc>
        <w:tc>
          <w:tcPr>
            <w:tcW w:w="421" w:type="dxa"/>
          </w:tcPr>
          <w:p w14:paraId="48FBFF97" w14:textId="77777777" w:rsidR="009F2080" w:rsidRDefault="009F2080" w:rsidP="00020B31">
            <w:pPr>
              <w:rPr>
                <w:sz w:val="18"/>
                <w:szCs w:val="18"/>
              </w:rPr>
            </w:pPr>
            <w:r>
              <w:rPr>
                <w:sz w:val="18"/>
                <w:szCs w:val="18"/>
              </w:rPr>
              <w:t>m</w:t>
            </w:r>
          </w:p>
          <w:p w14:paraId="06890E90" w14:textId="77777777" w:rsidR="009F2080" w:rsidRDefault="009F2080" w:rsidP="00020B31">
            <w:pPr>
              <w:rPr>
                <w:sz w:val="18"/>
                <w:szCs w:val="18"/>
              </w:rPr>
            </w:pPr>
          </w:p>
          <w:p w14:paraId="53006175" w14:textId="77777777" w:rsidR="009F2080" w:rsidRDefault="009F2080" w:rsidP="00020B31">
            <w:pPr>
              <w:rPr>
                <w:sz w:val="18"/>
                <w:szCs w:val="18"/>
              </w:rPr>
            </w:pPr>
          </w:p>
          <w:p w14:paraId="50A7B9B8" w14:textId="77777777" w:rsidR="009F2080" w:rsidRDefault="009F2080" w:rsidP="00020B31">
            <w:pPr>
              <w:rPr>
                <w:sz w:val="18"/>
                <w:szCs w:val="18"/>
              </w:rPr>
            </w:pPr>
            <w:r w:rsidRPr="00BB2306">
              <w:rPr>
                <w:rFonts w:ascii="Cambria Math" w:hAnsi="Cambria Math" w:cs="Cambria Math"/>
                <w:sz w:val="18"/>
                <w:szCs w:val="18"/>
              </w:rPr>
              <w:t>ℤ</w:t>
            </w:r>
          </w:p>
          <w:p w14:paraId="4D8C971E" w14:textId="77777777" w:rsidR="009F2080" w:rsidRPr="00BB57E2" w:rsidRDefault="009F2080" w:rsidP="00020B31">
            <w:pPr>
              <w:rPr>
                <w:sz w:val="18"/>
                <w:szCs w:val="18"/>
              </w:rPr>
            </w:pPr>
          </w:p>
        </w:tc>
      </w:tr>
      <w:tr w:rsidR="009F2080" w14:paraId="60FFE88F" w14:textId="77777777" w:rsidTr="00020B31">
        <w:tc>
          <w:tcPr>
            <w:tcW w:w="672" w:type="dxa"/>
          </w:tcPr>
          <w:p w14:paraId="5C665FB1" w14:textId="77777777" w:rsidR="009F2080" w:rsidRPr="00BB57E2" w:rsidRDefault="009F2080" w:rsidP="00020B31">
            <w:pPr>
              <w:rPr>
                <w:sz w:val="18"/>
                <w:szCs w:val="18"/>
              </w:rPr>
            </w:pPr>
            <w:bookmarkStart w:id="0" w:name="_Hlk97479386"/>
            <w:r w:rsidRPr="00DD7F44">
              <w:rPr>
                <w:rFonts w:cstheme="minorHAnsi"/>
                <w:sz w:val="18"/>
                <w:szCs w:val="18"/>
              </w:rPr>
              <w:t>3.1.</w:t>
            </w:r>
            <w:r>
              <w:rPr>
                <w:rFonts w:cstheme="minorHAnsi"/>
                <w:sz w:val="18"/>
                <w:szCs w:val="18"/>
              </w:rPr>
              <w:t>4</w:t>
            </w:r>
          </w:p>
        </w:tc>
        <w:tc>
          <w:tcPr>
            <w:tcW w:w="1710" w:type="dxa"/>
          </w:tcPr>
          <w:p w14:paraId="5E71EF6D" w14:textId="77777777" w:rsidR="009F2080" w:rsidRPr="00BB57E2" w:rsidRDefault="009F2080" w:rsidP="00020B31">
            <w:pPr>
              <w:rPr>
                <w:sz w:val="18"/>
                <w:szCs w:val="18"/>
              </w:rPr>
            </w:pPr>
            <w:r w:rsidRPr="00BB57E2">
              <w:rPr>
                <w:sz w:val="18"/>
                <w:szCs w:val="18"/>
              </w:rPr>
              <w:t xml:space="preserve">green areas </w:t>
            </w:r>
          </w:p>
        </w:tc>
        <w:tc>
          <w:tcPr>
            <w:tcW w:w="1866" w:type="dxa"/>
          </w:tcPr>
          <w:p w14:paraId="53FB188A" w14:textId="77777777" w:rsidR="009F2080" w:rsidRPr="00BB57E2" w:rsidRDefault="009F2080" w:rsidP="00020B31">
            <w:pPr>
              <w:rPr>
                <w:sz w:val="18"/>
                <w:szCs w:val="18"/>
              </w:rPr>
            </w:pPr>
            <w:r w:rsidRPr="00BB57E2">
              <w:rPr>
                <w:sz w:val="18"/>
                <w:szCs w:val="18"/>
              </w:rPr>
              <w:t>public gardens, parks and public open spaces</w:t>
            </w:r>
          </w:p>
        </w:tc>
        <w:tc>
          <w:tcPr>
            <w:tcW w:w="2026" w:type="dxa"/>
          </w:tcPr>
          <w:p w14:paraId="62E94E35" w14:textId="77777777" w:rsidR="009F2080" w:rsidRPr="00BB57E2" w:rsidRDefault="009F2080" w:rsidP="00020B31">
            <w:pPr>
              <w:rPr>
                <w:sz w:val="18"/>
                <w:szCs w:val="18"/>
              </w:rPr>
            </w:pPr>
            <w:r w:rsidRPr="00BB57E2">
              <w:rPr>
                <w:sz w:val="18"/>
                <w:szCs w:val="18"/>
              </w:rPr>
              <w:t>Proximity to facility</w:t>
            </w:r>
          </w:p>
          <w:p w14:paraId="2B6A2C8F" w14:textId="77777777" w:rsidR="009F2080" w:rsidRPr="00BB57E2" w:rsidRDefault="009F2080" w:rsidP="00020B31">
            <w:pPr>
              <w:rPr>
                <w:sz w:val="18"/>
                <w:szCs w:val="18"/>
              </w:rPr>
            </w:pPr>
          </w:p>
          <w:p w14:paraId="233C339B" w14:textId="77777777" w:rsidR="009F2080" w:rsidRPr="00BB57E2" w:rsidRDefault="009F2080" w:rsidP="00020B31">
            <w:pPr>
              <w:rPr>
                <w:sz w:val="18"/>
                <w:szCs w:val="18"/>
              </w:rPr>
            </w:pPr>
          </w:p>
          <w:p w14:paraId="579489FD" w14:textId="77777777" w:rsidR="009F2080" w:rsidRPr="00BB57E2" w:rsidRDefault="009F2080" w:rsidP="00020B31">
            <w:pPr>
              <w:rPr>
                <w:sz w:val="18"/>
                <w:szCs w:val="18"/>
              </w:rPr>
            </w:pPr>
            <w:r w:rsidRPr="00BB57E2">
              <w:rPr>
                <w:sz w:val="18"/>
                <w:szCs w:val="18"/>
              </w:rPr>
              <w:t>Number of facilities in area (radius to specify)</w:t>
            </w:r>
          </w:p>
          <w:p w14:paraId="787E9017" w14:textId="77777777" w:rsidR="009F2080" w:rsidRPr="00BB57E2" w:rsidRDefault="009F2080" w:rsidP="00020B31">
            <w:pPr>
              <w:rPr>
                <w:sz w:val="18"/>
                <w:szCs w:val="18"/>
              </w:rPr>
            </w:pPr>
          </w:p>
          <w:p w14:paraId="2A6AB2C0" w14:textId="77777777" w:rsidR="009F2080" w:rsidRPr="00BB57E2" w:rsidRDefault="009F2080" w:rsidP="00020B31">
            <w:pPr>
              <w:rPr>
                <w:sz w:val="18"/>
                <w:szCs w:val="18"/>
              </w:rPr>
            </w:pPr>
            <w:r w:rsidRPr="00BB57E2">
              <w:rPr>
                <w:sz w:val="18"/>
                <w:szCs w:val="18"/>
              </w:rPr>
              <w:t>Extension of park (S/M/L)</w:t>
            </w:r>
          </w:p>
        </w:tc>
        <w:tc>
          <w:tcPr>
            <w:tcW w:w="2321" w:type="dxa"/>
          </w:tcPr>
          <w:p w14:paraId="5A5834E8" w14:textId="77777777" w:rsidR="009F2080" w:rsidRPr="00BB57E2" w:rsidRDefault="009F2080" w:rsidP="00020B31">
            <w:pPr>
              <w:rPr>
                <w:sz w:val="18"/>
                <w:szCs w:val="18"/>
              </w:rPr>
            </w:pPr>
            <w:r w:rsidRPr="00BB57E2">
              <w:rPr>
                <w:sz w:val="18"/>
                <w:szCs w:val="18"/>
              </w:rPr>
              <w:t>Metres, walking distance</w:t>
            </w:r>
          </w:p>
          <w:p w14:paraId="04F29B3A" w14:textId="77777777" w:rsidR="009F2080" w:rsidRDefault="009F2080" w:rsidP="00020B31">
            <w:pPr>
              <w:rPr>
                <w:sz w:val="18"/>
                <w:szCs w:val="18"/>
              </w:rPr>
            </w:pPr>
          </w:p>
          <w:p w14:paraId="6A39A59B" w14:textId="77777777" w:rsidR="009F2080" w:rsidRPr="00BB57E2" w:rsidRDefault="009F2080" w:rsidP="00020B31">
            <w:pPr>
              <w:rPr>
                <w:sz w:val="18"/>
                <w:szCs w:val="18"/>
              </w:rPr>
            </w:pPr>
          </w:p>
          <w:p w14:paraId="40932B96" w14:textId="77777777" w:rsidR="009F2080" w:rsidRDefault="009F2080" w:rsidP="00020B31">
            <w:pPr>
              <w:rPr>
                <w:sz w:val="18"/>
                <w:szCs w:val="18"/>
              </w:rPr>
            </w:pPr>
            <w:r w:rsidRPr="00BB57E2">
              <w:rPr>
                <w:sz w:val="18"/>
                <w:szCs w:val="18"/>
              </w:rPr>
              <w:t xml:space="preserve">Integer </w:t>
            </w:r>
          </w:p>
          <w:p w14:paraId="68FBF221" w14:textId="77777777" w:rsidR="009F2080" w:rsidRDefault="009F2080" w:rsidP="00020B31">
            <w:pPr>
              <w:rPr>
                <w:sz w:val="18"/>
                <w:szCs w:val="18"/>
              </w:rPr>
            </w:pPr>
          </w:p>
          <w:p w14:paraId="2484D79F" w14:textId="77777777" w:rsidR="009F2080" w:rsidRPr="00BB57E2" w:rsidRDefault="009F2080" w:rsidP="00020B31">
            <w:pPr>
              <w:rPr>
                <w:rFonts w:ascii="Cambria Math" w:hAnsi="Cambria Math" w:cs="Cambria Math"/>
                <w:sz w:val="18"/>
                <w:szCs w:val="18"/>
              </w:rPr>
            </w:pPr>
          </w:p>
          <w:p w14:paraId="1750BD5D" w14:textId="77777777" w:rsidR="009F2080" w:rsidRPr="00BB57E2" w:rsidRDefault="009F2080" w:rsidP="00020B31">
            <w:pPr>
              <w:rPr>
                <w:sz w:val="18"/>
                <w:szCs w:val="18"/>
              </w:rPr>
            </w:pPr>
            <w:r w:rsidRPr="00BB57E2">
              <w:rPr>
                <w:sz w:val="18"/>
                <w:szCs w:val="18"/>
              </w:rPr>
              <w:t xml:space="preserve">Area </w:t>
            </w:r>
          </w:p>
        </w:tc>
        <w:tc>
          <w:tcPr>
            <w:tcW w:w="421" w:type="dxa"/>
          </w:tcPr>
          <w:p w14:paraId="0F7D6105" w14:textId="77777777" w:rsidR="009F2080" w:rsidRDefault="009F2080" w:rsidP="00020B31">
            <w:pPr>
              <w:rPr>
                <w:sz w:val="18"/>
                <w:szCs w:val="18"/>
              </w:rPr>
            </w:pPr>
            <w:r>
              <w:rPr>
                <w:sz w:val="18"/>
                <w:szCs w:val="18"/>
              </w:rPr>
              <w:t>m</w:t>
            </w:r>
          </w:p>
          <w:p w14:paraId="57FFB430" w14:textId="77777777" w:rsidR="009F2080" w:rsidRDefault="009F2080" w:rsidP="00020B31">
            <w:pPr>
              <w:rPr>
                <w:sz w:val="18"/>
                <w:szCs w:val="18"/>
              </w:rPr>
            </w:pPr>
          </w:p>
          <w:p w14:paraId="07B07832" w14:textId="77777777" w:rsidR="009F2080" w:rsidRDefault="009F2080" w:rsidP="00020B31">
            <w:pPr>
              <w:rPr>
                <w:sz w:val="18"/>
                <w:szCs w:val="18"/>
              </w:rPr>
            </w:pPr>
          </w:p>
          <w:p w14:paraId="17FFD914" w14:textId="77777777" w:rsidR="009F2080" w:rsidRDefault="009F2080" w:rsidP="00020B31">
            <w:pPr>
              <w:rPr>
                <w:rFonts w:ascii="Cambria Math" w:hAnsi="Cambria Math" w:cs="Cambria Math"/>
                <w:sz w:val="18"/>
                <w:szCs w:val="18"/>
              </w:rPr>
            </w:pPr>
            <w:r w:rsidRPr="00BB2306">
              <w:rPr>
                <w:rFonts w:ascii="Cambria Math" w:hAnsi="Cambria Math" w:cs="Cambria Math"/>
                <w:sz w:val="18"/>
                <w:szCs w:val="18"/>
              </w:rPr>
              <w:t>ℤ</w:t>
            </w:r>
          </w:p>
          <w:p w14:paraId="4D378F9C" w14:textId="77777777" w:rsidR="009F2080" w:rsidRDefault="009F2080" w:rsidP="00020B31">
            <w:pPr>
              <w:rPr>
                <w:rFonts w:ascii="Cambria Math" w:hAnsi="Cambria Math" w:cs="Cambria Math"/>
                <w:sz w:val="18"/>
                <w:szCs w:val="18"/>
              </w:rPr>
            </w:pPr>
          </w:p>
          <w:p w14:paraId="678D281D" w14:textId="77777777" w:rsidR="009F2080" w:rsidRDefault="009F2080" w:rsidP="00020B31">
            <w:pPr>
              <w:rPr>
                <w:rFonts w:ascii="Cambria Math" w:hAnsi="Cambria Math" w:cs="Cambria Math"/>
                <w:sz w:val="18"/>
                <w:szCs w:val="18"/>
              </w:rPr>
            </w:pPr>
          </w:p>
          <w:p w14:paraId="2D48D593" w14:textId="77777777" w:rsidR="009F2080" w:rsidRDefault="009F2080" w:rsidP="00020B31">
            <w:pPr>
              <w:rPr>
                <w:sz w:val="18"/>
                <w:szCs w:val="18"/>
              </w:rPr>
            </w:pPr>
            <w:r w:rsidRPr="0031633C">
              <w:rPr>
                <w:sz w:val="18"/>
                <w:szCs w:val="18"/>
              </w:rPr>
              <w:t>m</w:t>
            </w:r>
            <w:r w:rsidRPr="0031633C">
              <w:rPr>
                <w:sz w:val="18"/>
                <w:szCs w:val="18"/>
                <w:vertAlign w:val="superscript"/>
              </w:rPr>
              <w:t>2</w:t>
            </w:r>
          </w:p>
          <w:p w14:paraId="5E36379A" w14:textId="77777777" w:rsidR="009F2080" w:rsidRPr="00BB57E2" w:rsidRDefault="009F2080" w:rsidP="00020B31">
            <w:pPr>
              <w:rPr>
                <w:sz w:val="18"/>
                <w:szCs w:val="18"/>
              </w:rPr>
            </w:pPr>
          </w:p>
        </w:tc>
      </w:tr>
    </w:tbl>
    <w:bookmarkEnd w:id="0"/>
    <w:p w14:paraId="347056EA" w14:textId="47FE166D" w:rsidR="00492CAE" w:rsidRDefault="00492CAE" w:rsidP="009F2080">
      <w:r>
        <w:t xml:space="preserve">Table </w:t>
      </w:r>
      <w:r>
        <w:t>4</w:t>
      </w:r>
    </w:p>
    <w:p w14:paraId="3DC27A05" w14:textId="77777777" w:rsidR="009F2080" w:rsidRDefault="009F2080" w:rsidP="009F2080"/>
    <w:p w14:paraId="1A8852E9" w14:textId="77777777" w:rsidR="00FC462D" w:rsidRDefault="00FC462D"/>
    <w:sectPr w:rsidR="00FC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B1681"/>
    <w:multiLevelType w:val="hybridMultilevel"/>
    <w:tmpl w:val="0DF0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745555"/>
    <w:multiLevelType w:val="hybridMultilevel"/>
    <w:tmpl w:val="CA0EF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BC7F82"/>
    <w:multiLevelType w:val="hybridMultilevel"/>
    <w:tmpl w:val="08C61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C3499"/>
    <w:multiLevelType w:val="hybridMultilevel"/>
    <w:tmpl w:val="44E4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E4"/>
    <w:rsid w:val="000D71B4"/>
    <w:rsid w:val="001D09B2"/>
    <w:rsid w:val="00492CAE"/>
    <w:rsid w:val="0097048F"/>
    <w:rsid w:val="009A15DF"/>
    <w:rsid w:val="009F2080"/>
    <w:rsid w:val="00D047F3"/>
    <w:rsid w:val="00E037E4"/>
    <w:rsid w:val="00FC4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1DC7"/>
  <w15:chartTrackingRefBased/>
  <w15:docId w15:val="{8ABEB58E-3185-40A1-A79A-512E48DD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80"/>
  </w:style>
  <w:style w:type="paragraph" w:styleId="Heading1">
    <w:name w:val="heading 1"/>
    <w:basedOn w:val="Normal"/>
    <w:next w:val="Normal"/>
    <w:link w:val="Heading1Char"/>
    <w:uiPriority w:val="9"/>
    <w:qFormat/>
    <w:rsid w:val="009F2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20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208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F2080"/>
    <w:rPr>
      <w:color w:val="0563C1" w:themeColor="hyperlink"/>
      <w:u w:val="single"/>
    </w:rPr>
  </w:style>
  <w:style w:type="character" w:styleId="UnresolvedMention">
    <w:name w:val="Unresolved Mention"/>
    <w:basedOn w:val="DefaultParagraphFont"/>
    <w:uiPriority w:val="99"/>
    <w:semiHidden/>
    <w:unhideWhenUsed/>
    <w:rsid w:val="009F2080"/>
    <w:rPr>
      <w:color w:val="605E5C"/>
      <w:shd w:val="clear" w:color="auto" w:fill="E1DFDD"/>
    </w:rPr>
  </w:style>
  <w:style w:type="character" w:styleId="Strong">
    <w:name w:val="Strong"/>
    <w:basedOn w:val="DefaultParagraphFont"/>
    <w:uiPriority w:val="22"/>
    <w:qFormat/>
    <w:rsid w:val="009F2080"/>
    <w:rPr>
      <w:b/>
      <w:bCs/>
    </w:rPr>
  </w:style>
  <w:style w:type="character" w:customStyle="1" w:styleId="il">
    <w:name w:val="il"/>
    <w:basedOn w:val="DefaultParagraphFont"/>
    <w:rsid w:val="009F2080"/>
  </w:style>
  <w:style w:type="character" w:styleId="FollowedHyperlink">
    <w:name w:val="FollowedHyperlink"/>
    <w:basedOn w:val="DefaultParagraphFont"/>
    <w:uiPriority w:val="99"/>
    <w:semiHidden/>
    <w:unhideWhenUsed/>
    <w:rsid w:val="009F2080"/>
    <w:rPr>
      <w:color w:val="954F72" w:themeColor="followedHyperlink"/>
      <w:u w:val="single"/>
    </w:rPr>
  </w:style>
  <w:style w:type="character" w:styleId="CommentReference">
    <w:name w:val="annotation reference"/>
    <w:basedOn w:val="DefaultParagraphFont"/>
    <w:uiPriority w:val="99"/>
    <w:semiHidden/>
    <w:unhideWhenUsed/>
    <w:rsid w:val="009F2080"/>
    <w:rPr>
      <w:sz w:val="16"/>
      <w:szCs w:val="16"/>
    </w:rPr>
  </w:style>
  <w:style w:type="paragraph" w:styleId="CommentText">
    <w:name w:val="annotation text"/>
    <w:basedOn w:val="Normal"/>
    <w:link w:val="CommentTextChar"/>
    <w:uiPriority w:val="99"/>
    <w:semiHidden/>
    <w:unhideWhenUsed/>
    <w:rsid w:val="009F2080"/>
    <w:pPr>
      <w:spacing w:line="240" w:lineRule="auto"/>
    </w:pPr>
    <w:rPr>
      <w:sz w:val="20"/>
      <w:szCs w:val="20"/>
    </w:rPr>
  </w:style>
  <w:style w:type="character" w:customStyle="1" w:styleId="CommentTextChar">
    <w:name w:val="Comment Text Char"/>
    <w:basedOn w:val="DefaultParagraphFont"/>
    <w:link w:val="CommentText"/>
    <w:uiPriority w:val="99"/>
    <w:semiHidden/>
    <w:rsid w:val="009F2080"/>
    <w:rPr>
      <w:sz w:val="20"/>
      <w:szCs w:val="20"/>
    </w:rPr>
  </w:style>
  <w:style w:type="paragraph" w:styleId="CommentSubject">
    <w:name w:val="annotation subject"/>
    <w:basedOn w:val="CommentText"/>
    <w:next w:val="CommentText"/>
    <w:link w:val="CommentSubjectChar"/>
    <w:uiPriority w:val="99"/>
    <w:semiHidden/>
    <w:unhideWhenUsed/>
    <w:rsid w:val="009F2080"/>
    <w:rPr>
      <w:b/>
      <w:bCs/>
    </w:rPr>
  </w:style>
  <w:style w:type="character" w:customStyle="1" w:styleId="CommentSubjectChar">
    <w:name w:val="Comment Subject Char"/>
    <w:basedOn w:val="CommentTextChar"/>
    <w:link w:val="CommentSubject"/>
    <w:uiPriority w:val="99"/>
    <w:semiHidden/>
    <w:rsid w:val="009F2080"/>
    <w:rPr>
      <w:b/>
      <w:bCs/>
      <w:sz w:val="20"/>
      <w:szCs w:val="20"/>
    </w:rPr>
  </w:style>
  <w:style w:type="paragraph" w:styleId="BalloonText">
    <w:name w:val="Balloon Text"/>
    <w:basedOn w:val="Normal"/>
    <w:link w:val="BalloonTextChar"/>
    <w:uiPriority w:val="99"/>
    <w:semiHidden/>
    <w:unhideWhenUsed/>
    <w:rsid w:val="009F2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080"/>
    <w:rPr>
      <w:rFonts w:ascii="Segoe UI" w:hAnsi="Segoe UI" w:cs="Segoe UI"/>
      <w:sz w:val="18"/>
      <w:szCs w:val="18"/>
    </w:rPr>
  </w:style>
  <w:style w:type="paragraph" w:styleId="Title">
    <w:name w:val="Title"/>
    <w:basedOn w:val="Normal"/>
    <w:next w:val="Normal"/>
    <w:link w:val="TitleChar"/>
    <w:uiPriority w:val="10"/>
    <w:qFormat/>
    <w:rsid w:val="009F2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0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080"/>
    <w:pPr>
      <w:ind w:left="720"/>
      <w:contextualSpacing/>
    </w:pPr>
  </w:style>
  <w:style w:type="paragraph" w:styleId="NormalWeb">
    <w:name w:val="Normal (Web)"/>
    <w:basedOn w:val="Normal"/>
    <w:uiPriority w:val="99"/>
    <w:semiHidden/>
    <w:unhideWhenUsed/>
    <w:rsid w:val="009F20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nationalarchives.gov.uk/ukgwa/20120919132719/http:/www.communities.gov.uk/documents/statistics/pdf/1319805.pdf" TargetMode="External"/><Relationship Id="rId13" Type="http://schemas.openxmlformats.org/officeDocument/2006/relationships/hyperlink" Target="https://data.gov.uk/dataset/46dfd9e2-fcce-4dfe-a4c8-88d7fedfdd0c/equalities-diversity-and-inclusion-measures" TargetMode="External"/><Relationship Id="rId18" Type="http://schemas.openxmlformats.org/officeDocument/2006/relationships/hyperlink" Target="https://www.gov.uk/government/publications/technical-housing-standards-nationally-described-space-standard" TargetMode="External"/><Relationship Id="rId26" Type="http://schemas.openxmlformats.org/officeDocument/2006/relationships/hyperlink" Target="https://www.gov.uk/government/publications/overheating-approved-document-o" TargetMode="External"/><Relationship Id="rId3" Type="http://schemas.openxmlformats.org/officeDocument/2006/relationships/settings" Target="settings.xml"/><Relationship Id="rId21" Type="http://schemas.openxmlformats.org/officeDocument/2006/relationships/hyperlink" Target="https://www.gov.uk/government/publications/technical-housing-standards-nationally-described-space-standard" TargetMode="External"/><Relationship Id="rId7" Type="http://schemas.openxmlformats.org/officeDocument/2006/relationships/hyperlink" Target="https://data.gov.uk/dataset/46dfd9e2-fcce-4dfe-a4c8-88d7fedfdd0c/equalities-diversity-and-inclusion-measures" TargetMode="External"/><Relationship Id="rId12" Type="http://schemas.openxmlformats.org/officeDocument/2006/relationships/hyperlink" Target="https://www.london.gov.uk/what-we-do/housing-and-land/improving-quality/housing-design-and-quality" TargetMode="External"/><Relationship Id="rId17" Type="http://schemas.openxmlformats.org/officeDocument/2006/relationships/hyperlink" Target="https://www.gov.uk/government/publications/technical-housing-standards-nationally-described-space-standard" TargetMode="External"/><Relationship Id="rId25" Type="http://schemas.openxmlformats.org/officeDocument/2006/relationships/hyperlink" Target="https://www.gov.uk/government/publications/ventilation-approved-document-f" TargetMode="External"/><Relationship Id="rId2" Type="http://schemas.openxmlformats.org/officeDocument/2006/relationships/styles" Target="styles.xml"/><Relationship Id="rId16" Type="http://schemas.openxmlformats.org/officeDocument/2006/relationships/hyperlink" Target="https://www.london.gov.uk/what-we-do/housing-and-land/homes-londoners-affordable-homes-programmes/homes-londoners-affordable-homes-programme-2021-2026/design-and-sustainability-further-guidance" TargetMode="External"/><Relationship Id="rId20" Type="http://schemas.openxmlformats.org/officeDocument/2006/relationships/hyperlink" Target="https://www.gov.uk/government/publications/technical-housing-standards-nationally-described-space-standard" TargetMode="External"/><Relationship Id="rId29" Type="http://schemas.openxmlformats.org/officeDocument/2006/relationships/hyperlink" Target="https://www.london.gov.uk/what-we-do/planning/implementing-london-plan/london-plan-guidance/air-quality-neutral-aqn-guidance" TargetMode="External"/><Relationship Id="rId1" Type="http://schemas.openxmlformats.org/officeDocument/2006/relationships/numbering" Target="numbering.xml"/><Relationship Id="rId6" Type="http://schemas.openxmlformats.org/officeDocument/2006/relationships/hyperlink" Target="https://airdrive-secure.s3-eu-west-1.amazonaws.com/london/dataset/equality--diversity-and-inclusion-evidence-base/2019-06-26T21%3A05%3A26/EDI%20evidence%20base%20for%20London%20%28June%202019%20update%29.pdf?X-Amz-Algorithm=AWS4-HMAC-SHA256&amp;X-Amz-Credential=AKIAJJDIMAIVZJDICKHA%2F20220201%2Feu-west-1%2Fs3%2Faws4_request&amp;X-Amz-Date=20220201T163837Z&amp;X-Amz-Expires=300&amp;X-Amz-Signature=262b21da1b199403b69e8ba5689e3e5ab2b0f4fcbe1c47ecfa5f82474ddc4221&amp;X-Amz-SignedHeaders=host" TargetMode="External"/><Relationship Id="rId11" Type="http://schemas.openxmlformats.org/officeDocument/2006/relationships/hyperlink" Target="https://www.london.gov.uk/what-we-do/housing-and-land/homes-londoners-affordable-homes-programmes/homes-londoners-affordable-homes-programme-2021-2026/design-and-sustainability-further-guidance" TargetMode="External"/><Relationship Id="rId24" Type="http://schemas.openxmlformats.org/officeDocument/2006/relationships/hyperlink" Target="https://www.gov.uk/government/publications/conservation-of-fuel-and-power-approved-document-l" TargetMode="External"/><Relationship Id="rId32" Type="http://schemas.openxmlformats.org/officeDocument/2006/relationships/theme" Target="theme/theme1.xml"/><Relationship Id="rId5" Type="http://schemas.openxmlformats.org/officeDocument/2006/relationships/hyperlink" Target="https://data.gov.uk/dataset/f3190e1b-edba-4086-8112-914d3736e181/community-life-survey-london-summary" TargetMode="External"/><Relationship Id="rId15" Type="http://schemas.openxmlformats.org/officeDocument/2006/relationships/hyperlink" Target="https://www.london.gov.uk/what-we-do/housing-and-land/tackling-londons-housing-crisis" TargetMode="External"/><Relationship Id="rId23" Type="http://schemas.openxmlformats.org/officeDocument/2006/relationships/hyperlink" Target="https://www.gov.uk/government/publications/access-to-and-use-of-buildings-approved-document-m" TargetMode="External"/><Relationship Id="rId28" Type="http://schemas.openxmlformats.org/officeDocument/2006/relationships/hyperlink" Target="https://www.london.gov.uk/what-we-do/planning/implementing-london-plan/london-plan-guidance/be-seen-energy-monitoring-guidance" TargetMode="External"/><Relationship Id="rId10" Type="http://schemas.openxmlformats.org/officeDocument/2006/relationships/hyperlink" Target="https://assets.publishing.service.gov.uk/government/uploads/system/uploads/attachment_data/file/954467/Part_M_Report_with_appendices.pdf" TargetMode="External"/><Relationship Id="rId19" Type="http://schemas.openxmlformats.org/officeDocument/2006/relationships/hyperlink" Target="https://www.gov.uk/government/publications/technical-housing-standards-nationally-described-space-standar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gov.uk/dataset/b7c7e9f4-ee57-4ffa-847e-c3b8c4c1abc3/citizenship-survey-identity-and-values-topic-report" TargetMode="External"/><Relationship Id="rId14" Type="http://schemas.openxmlformats.org/officeDocument/2006/relationships/hyperlink" Target="https://www.london.gov.uk/sites/default/files/communitycohesionactionguide.pdf" TargetMode="External"/><Relationship Id="rId22" Type="http://schemas.openxmlformats.org/officeDocument/2006/relationships/hyperlink" Target="https://www.gov.uk/government/publications/technical-housing-standards-nationally-described-space-standard" TargetMode="External"/><Relationship Id="rId27" Type="http://schemas.openxmlformats.org/officeDocument/2006/relationships/hyperlink" Target="https://www.rics.org/globalassets/rics-website/media/news/whole-life-carbon-assessment-for-the--built-environment-november-2017.pdf" TargetMode="External"/><Relationship Id="rId30" Type="http://schemas.openxmlformats.org/officeDocument/2006/relationships/hyperlink" Target="https://www.london.gov.uk/what-we-do/environment/parks-green-spaces-and-biodiversity/urban-gre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4363</Words>
  <Characters>24870</Characters>
  <Application>Microsoft Office Word</Application>
  <DocSecurity>0</DocSecurity>
  <Lines>207</Lines>
  <Paragraphs>58</Paragraphs>
  <ScaleCrop>false</ScaleCrop>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Carta</dc:creator>
  <cp:keywords/>
  <dc:description/>
  <cp:lastModifiedBy>Silvio Carta</cp:lastModifiedBy>
  <cp:revision>9</cp:revision>
  <dcterms:created xsi:type="dcterms:W3CDTF">2022-03-06T11:15:00Z</dcterms:created>
  <dcterms:modified xsi:type="dcterms:W3CDTF">2022-03-06T17:16:00Z</dcterms:modified>
</cp:coreProperties>
</file>