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E36" w:rsidRDefault="009E4E36" w:rsidP="009E4E36">
      <w:pPr>
        <w:rPr>
          <w:b/>
          <w:bCs/>
          <w:bdr w:val="single" w:sz="2" w:space="0" w:color="D9D9E3" w:frame="1"/>
        </w:rPr>
      </w:pPr>
      <w:r>
        <w:rPr>
          <w:b/>
          <w:bCs/>
          <w:bdr w:val="single" w:sz="2" w:space="0" w:color="D9D9E3" w:frame="1"/>
        </w:rPr>
        <w:t>Request_1</w:t>
      </w:r>
    </w:p>
    <w:p w:rsidR="009E4E36" w:rsidRPr="009E4E36" w:rsidRDefault="009E4E36" w:rsidP="009E4E36">
      <w:r w:rsidRPr="009E4E36">
        <w:rPr>
          <w:b/>
          <w:bCs/>
          <w:bdr w:val="single" w:sz="2" w:space="0" w:color="D9D9E3" w:frame="1"/>
        </w:rPr>
        <w:t>Introduction:</w:t>
      </w:r>
      <w:r w:rsidRPr="009E4E36">
        <w:t xml:space="preserve"> In our recent analysis, we uncovered exciting insights into high-value products featured in promotions. Two standout products caught our attention, each representing excellence in their respective categories.</w:t>
      </w:r>
    </w:p>
    <w:p w:rsidR="009E4E36" w:rsidRPr="009E4E36" w:rsidRDefault="009E4E36" w:rsidP="009E4E36">
      <w:r w:rsidRPr="009E4E36">
        <w:rPr>
          <w:b/>
          <w:bCs/>
          <w:bdr w:val="single" w:sz="2" w:space="0" w:color="D9D9E3" w:frame="1"/>
        </w:rPr>
        <w:t xml:space="preserve">1. </w:t>
      </w:r>
      <w:proofErr w:type="spellStart"/>
      <w:r w:rsidRPr="009E4E36">
        <w:rPr>
          <w:b/>
          <w:bCs/>
          <w:bdr w:val="single" w:sz="2" w:space="0" w:color="D9D9E3" w:frame="1"/>
        </w:rPr>
        <w:t>Atliq</w:t>
      </w:r>
      <w:proofErr w:type="spellEnd"/>
      <w:r w:rsidRPr="009E4E36">
        <w:rPr>
          <w:b/>
          <w:bCs/>
          <w:bdr w:val="single" w:sz="2" w:space="0" w:color="D9D9E3" w:frame="1"/>
        </w:rPr>
        <w:t xml:space="preserve"> Waterproof Immersion Rod - Home Appliance Category:</w:t>
      </w:r>
    </w:p>
    <w:p w:rsidR="009E4E36" w:rsidRPr="009E4E36" w:rsidRDefault="009E4E36" w:rsidP="009E4E36">
      <w:r w:rsidRPr="009E4E36">
        <w:rPr>
          <w:b/>
          <w:bCs/>
          <w:bdr w:val="single" w:sz="2" w:space="0" w:color="D9D9E3" w:frame="1"/>
        </w:rPr>
        <w:t>Product Name:</w:t>
      </w:r>
      <w:r w:rsidRPr="009E4E36">
        <w:t xml:space="preserve"> </w:t>
      </w:r>
      <w:proofErr w:type="spellStart"/>
      <w:r w:rsidRPr="009E4E36">
        <w:t>Atliq</w:t>
      </w:r>
      <w:proofErr w:type="spellEnd"/>
      <w:r w:rsidRPr="009E4E36">
        <w:t xml:space="preserve"> Waterproof Immersion Rod</w:t>
      </w:r>
    </w:p>
    <w:p w:rsidR="009E4E36" w:rsidRPr="009E4E36" w:rsidRDefault="009E4E36" w:rsidP="009E4E36">
      <w:r w:rsidRPr="009E4E36">
        <w:rPr>
          <w:b/>
          <w:bCs/>
          <w:bdr w:val="single" w:sz="2" w:space="0" w:color="D9D9E3" w:frame="1"/>
        </w:rPr>
        <w:t>Category:</w:t>
      </w:r>
      <w:r w:rsidRPr="009E4E36">
        <w:t xml:space="preserve"> Home Appliance</w:t>
      </w:r>
    </w:p>
    <w:p w:rsidR="009E4E36" w:rsidRPr="009E4E36" w:rsidRDefault="009E4E36" w:rsidP="009E4E36">
      <w:r w:rsidRPr="009E4E36">
        <w:rPr>
          <w:b/>
          <w:bCs/>
          <w:bdr w:val="single" w:sz="2" w:space="0" w:color="D9D9E3" w:frame="1"/>
        </w:rPr>
        <w:t>Base Price:</w:t>
      </w:r>
      <w:r w:rsidRPr="009E4E36">
        <w:t xml:space="preserve"> [Enter Base Price]</w:t>
      </w:r>
    </w:p>
    <w:p w:rsidR="009E4E36" w:rsidRPr="009E4E36" w:rsidRDefault="009E4E36" w:rsidP="009E4E36">
      <w:r w:rsidRPr="009E4E36">
        <w:rPr>
          <w:b/>
          <w:bCs/>
          <w:bdr w:val="single" w:sz="2" w:space="0" w:color="D9D9E3" w:frame="1"/>
        </w:rPr>
        <w:t>Promotion Type:</w:t>
      </w:r>
      <w:r w:rsidRPr="009E4E36">
        <w:t xml:space="preserve"> BOGOF (Buy One Get One Free)</w:t>
      </w:r>
    </w:p>
    <w:p w:rsidR="009E4E36" w:rsidRPr="009E4E36" w:rsidRDefault="009E4E36" w:rsidP="009E4E36">
      <w:r w:rsidRPr="009E4E36">
        <w:rPr>
          <w:i/>
          <w:iCs/>
          <w:bdr w:val="single" w:sz="2" w:space="0" w:color="D9D9E3" w:frame="1"/>
        </w:rPr>
        <w:t>Insight:</w:t>
      </w:r>
      <w:r w:rsidRPr="009E4E36">
        <w:t xml:space="preserve"> The </w:t>
      </w:r>
      <w:proofErr w:type="spellStart"/>
      <w:r w:rsidRPr="009E4E36">
        <w:t>Atliq</w:t>
      </w:r>
      <w:proofErr w:type="spellEnd"/>
      <w:r w:rsidRPr="009E4E36">
        <w:t xml:space="preserve"> Waterproof Immersion Rod emerges as the star product in the Home Appliance category with an impressive base price. The 'BOGOF' promotion not only makes it an attractive deal but also positions it as a top choice for our customers seeking high-quality home appliances.</w:t>
      </w:r>
    </w:p>
    <w:p w:rsidR="009E4E36" w:rsidRPr="009E4E36" w:rsidRDefault="009E4E36" w:rsidP="009E4E36">
      <w:r w:rsidRPr="009E4E36">
        <w:rPr>
          <w:b/>
          <w:bCs/>
          <w:bdr w:val="single" w:sz="2" w:space="0" w:color="D9D9E3" w:frame="1"/>
        </w:rPr>
        <w:t xml:space="preserve">2. </w:t>
      </w:r>
      <w:proofErr w:type="spellStart"/>
      <w:r w:rsidRPr="009E4E36">
        <w:rPr>
          <w:b/>
          <w:bCs/>
          <w:bdr w:val="single" w:sz="2" w:space="0" w:color="D9D9E3" w:frame="1"/>
        </w:rPr>
        <w:t>Atliq</w:t>
      </w:r>
      <w:proofErr w:type="spellEnd"/>
      <w:r w:rsidRPr="009E4E36">
        <w:rPr>
          <w:b/>
          <w:bCs/>
          <w:bdr w:val="single" w:sz="2" w:space="0" w:color="D9D9E3" w:frame="1"/>
        </w:rPr>
        <w:t xml:space="preserve"> Double Bedsheet Set - Home Care Category:</w:t>
      </w:r>
    </w:p>
    <w:p w:rsidR="009E4E36" w:rsidRPr="009E4E36" w:rsidRDefault="009E4E36" w:rsidP="009E4E36">
      <w:r w:rsidRPr="009E4E36">
        <w:rPr>
          <w:b/>
          <w:bCs/>
          <w:bdr w:val="single" w:sz="2" w:space="0" w:color="D9D9E3" w:frame="1"/>
        </w:rPr>
        <w:t>Product Name:</w:t>
      </w:r>
      <w:r w:rsidRPr="009E4E36">
        <w:t xml:space="preserve"> </w:t>
      </w:r>
      <w:proofErr w:type="spellStart"/>
      <w:r w:rsidRPr="009E4E36">
        <w:t>Atliq</w:t>
      </w:r>
      <w:proofErr w:type="spellEnd"/>
      <w:r w:rsidRPr="009E4E36">
        <w:t xml:space="preserve"> Double Bedsheet Set</w:t>
      </w:r>
    </w:p>
    <w:p w:rsidR="009E4E36" w:rsidRPr="009E4E36" w:rsidRDefault="009E4E36" w:rsidP="009E4E36">
      <w:r w:rsidRPr="009E4E36">
        <w:rPr>
          <w:b/>
          <w:bCs/>
          <w:bdr w:val="single" w:sz="2" w:space="0" w:color="D9D9E3" w:frame="1"/>
        </w:rPr>
        <w:t>Category:</w:t>
      </w:r>
      <w:r w:rsidRPr="009E4E36">
        <w:t xml:space="preserve"> Home Care</w:t>
      </w:r>
    </w:p>
    <w:p w:rsidR="009E4E36" w:rsidRPr="009E4E36" w:rsidRDefault="009E4E36" w:rsidP="009E4E36">
      <w:r w:rsidRPr="009E4E36">
        <w:rPr>
          <w:b/>
          <w:bCs/>
          <w:bdr w:val="single" w:sz="2" w:space="0" w:color="D9D9E3" w:frame="1"/>
        </w:rPr>
        <w:t>Base Price:</w:t>
      </w:r>
      <w:r w:rsidRPr="009E4E36">
        <w:t xml:space="preserve"> [Enter Base Price]</w:t>
      </w:r>
    </w:p>
    <w:p w:rsidR="009E4E36" w:rsidRPr="009E4E36" w:rsidRDefault="009E4E36" w:rsidP="009E4E36">
      <w:r w:rsidRPr="009E4E36">
        <w:rPr>
          <w:b/>
          <w:bCs/>
          <w:bdr w:val="single" w:sz="2" w:space="0" w:color="D9D9E3" w:frame="1"/>
        </w:rPr>
        <w:t>Promotion Type:</w:t>
      </w:r>
      <w:r w:rsidRPr="009E4E36">
        <w:t xml:space="preserve"> BOGOF (Buy One Get One Free)</w:t>
      </w:r>
    </w:p>
    <w:p w:rsidR="009E4E36" w:rsidRPr="009E4E36" w:rsidRDefault="009E4E36" w:rsidP="009E4E36">
      <w:r w:rsidRPr="009E4E36">
        <w:rPr>
          <w:i/>
          <w:iCs/>
          <w:bdr w:val="single" w:sz="2" w:space="0" w:color="D9D9E3" w:frame="1"/>
        </w:rPr>
        <w:t>Insight:</w:t>
      </w:r>
      <w:r w:rsidRPr="009E4E36">
        <w:t xml:space="preserve"> In the Home Care category, the </w:t>
      </w:r>
      <w:proofErr w:type="spellStart"/>
      <w:r w:rsidRPr="009E4E36">
        <w:t>Atliq</w:t>
      </w:r>
      <w:proofErr w:type="spellEnd"/>
      <w:r w:rsidRPr="009E4E36">
        <w:t xml:space="preserve"> Double Bedsheet Set shines as the premium offering with a base price that signifies its value. The inclusion in the 'BOGOF' promotion adds an extra layer of appeal, making it an irresistible choice for customers looking to enhance their home aesthetics.</w:t>
      </w:r>
    </w:p>
    <w:p w:rsidR="009E4E36" w:rsidRPr="009E4E36" w:rsidRDefault="009E4E36" w:rsidP="009E4E36">
      <w:r w:rsidRPr="009E4E36">
        <w:rPr>
          <w:b/>
          <w:bCs/>
          <w:bdr w:val="single" w:sz="2" w:space="0" w:color="D9D9E3" w:frame="1"/>
        </w:rPr>
        <w:t>Key Takeaways:</w:t>
      </w:r>
    </w:p>
    <w:p w:rsidR="009E4E36" w:rsidRPr="009E4E36" w:rsidRDefault="009E4E36" w:rsidP="009E4E36">
      <w:r w:rsidRPr="009E4E36">
        <w:rPr>
          <w:b/>
          <w:bCs/>
          <w:bdr w:val="single" w:sz="2" w:space="0" w:color="D9D9E3" w:frame="1"/>
        </w:rPr>
        <w:t>Strategic Pricing:</w:t>
      </w:r>
      <w:r w:rsidRPr="009E4E36">
        <w:t xml:space="preserve"> Both products showcase the effectiveness of strategic pricing, where a base price above 500 combined with a 'BOGOF' promotion enhances perceived value.</w:t>
      </w:r>
    </w:p>
    <w:p w:rsidR="009E4E36" w:rsidRPr="009E4E36" w:rsidRDefault="009E4E36" w:rsidP="009E4E36">
      <w:r w:rsidRPr="009E4E36">
        <w:rPr>
          <w:b/>
          <w:bCs/>
          <w:bdr w:val="single" w:sz="2" w:space="0" w:color="D9D9E3" w:frame="1"/>
        </w:rPr>
        <w:t>Customer Engagement:</w:t>
      </w:r>
      <w:r w:rsidRPr="009E4E36">
        <w:t xml:space="preserve"> Highlighting these high-value products in marketing campaigns can drive customer engagement and loyalty, capitalizing on the attractive promotions.</w:t>
      </w:r>
    </w:p>
    <w:p w:rsidR="009E4E36" w:rsidRPr="009E4E36" w:rsidRDefault="009E4E36" w:rsidP="009E4E36">
      <w:r w:rsidRPr="009E4E36">
        <w:rPr>
          <w:b/>
          <w:bCs/>
          <w:bdr w:val="single" w:sz="2" w:space="0" w:color="D9D9E3" w:frame="1"/>
        </w:rPr>
        <w:t>Next Steps:</w:t>
      </w:r>
      <w:r w:rsidRPr="009E4E36">
        <w:t xml:space="preserve"> Consider leveraging these insights to refine our pricing and promotion strategies, keeping in mind the success of these high-value products. Additionally, explore cross-promotional opportunities to further enhance customer experience.</w:t>
      </w:r>
    </w:p>
    <w:p w:rsidR="009E4E36" w:rsidRDefault="009E4E36" w:rsidP="009E4E36">
      <w:r w:rsidRPr="009E4E36">
        <w:rPr>
          <w:b/>
          <w:bCs/>
          <w:bdr w:val="single" w:sz="2" w:space="0" w:color="D9D9E3" w:frame="1"/>
        </w:rPr>
        <w:t>Conclusion:</w:t>
      </w:r>
      <w:r w:rsidRPr="009E4E36">
        <w:t xml:space="preserve"> The </w:t>
      </w:r>
      <w:proofErr w:type="spellStart"/>
      <w:r w:rsidRPr="009E4E36">
        <w:t>Atliq</w:t>
      </w:r>
      <w:proofErr w:type="spellEnd"/>
      <w:r w:rsidRPr="009E4E36">
        <w:t xml:space="preserve"> Waterproof Immersion Rod and </w:t>
      </w:r>
      <w:proofErr w:type="spellStart"/>
      <w:r w:rsidRPr="009E4E36">
        <w:t>Atliq</w:t>
      </w:r>
      <w:proofErr w:type="spellEnd"/>
      <w:r w:rsidRPr="009E4E36">
        <w:t xml:space="preserve"> Double Bedsheet Set stand out as prime examples of how strategic pricing and promotions can elevate the appeal of products in their respective categories. These insights provide a valuable roadmap for refining our marketing approach and creating compelling customer offerings.</w:t>
      </w:r>
    </w:p>
    <w:p w:rsidR="009E4E36" w:rsidRDefault="009E4E36" w:rsidP="009E4E36"/>
    <w:p w:rsidR="009E4E36" w:rsidRDefault="009E4E36" w:rsidP="009E4E36"/>
    <w:p w:rsidR="009E4E36" w:rsidRDefault="008D34B9" w:rsidP="009E4E36">
      <w:r>
        <w:lastRenderedPageBreak/>
        <w:t>Request_2</w:t>
      </w:r>
    </w:p>
    <w:p w:rsidR="008D34B9" w:rsidRPr="008D34B9" w:rsidRDefault="008D34B9" w:rsidP="00C53257">
      <w:r w:rsidRPr="008D34B9">
        <w:rPr>
          <w:b/>
          <w:bCs/>
          <w:bdr w:val="single" w:sz="2" w:space="0" w:color="D9D9E3" w:frame="1"/>
        </w:rPr>
        <w:t>Introduction:</w:t>
      </w:r>
      <w:r w:rsidRPr="008D34B9">
        <w:t xml:space="preserve"> Understanding the distribution of stores across cities is crucial for optimizing our retail operations. This report provides a comprehensive overview of the number of stores in each city, revealing key insights into our store presence across regions.</w:t>
      </w:r>
    </w:p>
    <w:p w:rsidR="008D34B9" w:rsidRPr="008D34B9" w:rsidRDefault="008D34B9" w:rsidP="00C53257">
      <w:r w:rsidRPr="008D34B9">
        <w:rPr>
          <w:b/>
          <w:bCs/>
          <w:bdr w:val="single" w:sz="2" w:space="0" w:color="D9D9E3" w:frame="1"/>
        </w:rPr>
        <w:t>Key Findings:</w:t>
      </w:r>
    </w:p>
    <w:p w:rsidR="008D34B9" w:rsidRPr="008D34B9" w:rsidRDefault="008D34B9" w:rsidP="00C53257">
      <w:r w:rsidRPr="008D34B9">
        <w:rPr>
          <w:b/>
          <w:bCs/>
          <w:bdr w:val="single" w:sz="2" w:space="0" w:color="D9D9E3" w:frame="1"/>
        </w:rPr>
        <w:t>Bengaluru - Retail Hub with 10 Stores:</w:t>
      </w:r>
    </w:p>
    <w:p w:rsidR="008D34B9" w:rsidRPr="008D34B9" w:rsidRDefault="008D34B9" w:rsidP="00C53257">
      <w:r w:rsidRPr="008D34B9">
        <w:t>Bengaluru emerges as the flagship city with the highest store count, signifying its significance as a retail hub. The substantial presence in Bengaluru indicates a strong market and consumer base, presenting opportunities for further expansion and targeted marketing efforts.</w:t>
      </w:r>
    </w:p>
    <w:p w:rsidR="008D34B9" w:rsidRPr="008D34B9" w:rsidRDefault="008D34B9" w:rsidP="00C53257">
      <w:r w:rsidRPr="008D34B9">
        <w:rPr>
          <w:b/>
          <w:bCs/>
          <w:bdr w:val="single" w:sz="2" w:space="0" w:color="D9D9E3" w:frame="1"/>
        </w:rPr>
        <w:t>Chennai - Robust Presence with 8 Stores:</w:t>
      </w:r>
    </w:p>
    <w:p w:rsidR="008D34B9" w:rsidRPr="008D34B9" w:rsidRDefault="008D34B9" w:rsidP="00C53257">
      <w:r w:rsidRPr="008D34B9">
        <w:t>Chennai follows closely with a robust store count of 8, indicating a well-established presence in this market. This signals a strong brand presence and customer engagement in the region. Further exploration of consumer preferences in Chennai could unlock additional growth avenues.</w:t>
      </w:r>
    </w:p>
    <w:p w:rsidR="008D34B9" w:rsidRPr="008D34B9" w:rsidRDefault="008D34B9" w:rsidP="00C53257">
      <w:r w:rsidRPr="008D34B9">
        <w:rPr>
          <w:b/>
          <w:bCs/>
          <w:bdr w:val="single" w:sz="2" w:space="0" w:color="D9D9E3" w:frame="1"/>
        </w:rPr>
        <w:t>Hyderabad - Strategic Presence with 7 Stores:</w:t>
      </w:r>
    </w:p>
    <w:p w:rsidR="008D34B9" w:rsidRPr="008D34B9" w:rsidRDefault="008D34B9" w:rsidP="00C53257">
      <w:r w:rsidRPr="008D34B9">
        <w:t>Hyderabad maintains a strategic presence with 7 stores, contributing to a well-rounded regional coverage. Analyzing performance metrics in Hyderabad could reveal insights into consumer behavior and preferences, aiding in refining our retail strategies.</w:t>
      </w:r>
    </w:p>
    <w:p w:rsidR="008D34B9" w:rsidRPr="008D34B9" w:rsidRDefault="008D34B9" w:rsidP="00C53257">
      <w:r w:rsidRPr="008D34B9">
        <w:rPr>
          <w:b/>
          <w:bCs/>
          <w:bdr w:val="single" w:sz="2" w:space="0" w:color="D9D9E3" w:frame="1"/>
        </w:rPr>
        <w:t>Coimbatore and Vishakhapatnam - Balancing Act with 5 Stores Each:</w:t>
      </w:r>
    </w:p>
    <w:p w:rsidR="008D34B9" w:rsidRPr="008D34B9" w:rsidRDefault="008D34B9" w:rsidP="00C53257">
      <w:r w:rsidRPr="008D34B9">
        <w:t>Coimbatore and Vishakhapatnam share a balanced store count of 5 each. This suggests an equitable distribution of resources and a focus on catering to diverse markets. Exploring local market dynamics can help maximize the impact of our presence in these cities.</w:t>
      </w:r>
    </w:p>
    <w:p w:rsidR="008D34B9" w:rsidRPr="008D34B9" w:rsidRDefault="008D34B9" w:rsidP="00C53257">
      <w:r w:rsidRPr="008D34B9">
        <w:rPr>
          <w:b/>
          <w:bCs/>
          <w:bdr w:val="single" w:sz="2" w:space="0" w:color="D9D9E3" w:frame="1"/>
        </w:rPr>
        <w:t xml:space="preserve">Madurai and </w:t>
      </w:r>
      <w:proofErr w:type="spellStart"/>
      <w:r w:rsidRPr="008D34B9">
        <w:rPr>
          <w:b/>
          <w:bCs/>
          <w:bdr w:val="single" w:sz="2" w:space="0" w:color="D9D9E3" w:frame="1"/>
        </w:rPr>
        <w:t>Mysuru</w:t>
      </w:r>
      <w:proofErr w:type="spellEnd"/>
      <w:r w:rsidRPr="008D34B9">
        <w:rPr>
          <w:b/>
          <w:bCs/>
          <w:bdr w:val="single" w:sz="2" w:space="0" w:color="D9D9E3" w:frame="1"/>
        </w:rPr>
        <w:t xml:space="preserve"> - Sustaining Presence with 4 Stores Each:</w:t>
      </w:r>
    </w:p>
    <w:p w:rsidR="008D34B9" w:rsidRPr="008D34B9" w:rsidRDefault="008D34B9" w:rsidP="00C53257">
      <w:r w:rsidRPr="008D34B9">
        <w:t xml:space="preserve">Madurai and </w:t>
      </w:r>
      <w:proofErr w:type="spellStart"/>
      <w:r w:rsidRPr="008D34B9">
        <w:t>Mysuru</w:t>
      </w:r>
      <w:proofErr w:type="spellEnd"/>
      <w:r w:rsidRPr="008D34B9">
        <w:t xml:space="preserve"> maintain a steady presence with 4 stores each, indicating a sustained commitment to these markets. Evaluating customer feedback and market trends in these cities could uncover opportunities for optimization and growth.</w:t>
      </w:r>
    </w:p>
    <w:p w:rsidR="008D34B9" w:rsidRPr="008D34B9" w:rsidRDefault="008D34B9" w:rsidP="00C53257">
      <w:r w:rsidRPr="008D34B9">
        <w:rPr>
          <w:b/>
          <w:bCs/>
          <w:bdr w:val="single" w:sz="2" w:space="0" w:color="D9D9E3" w:frame="1"/>
        </w:rPr>
        <w:t>Trivandrum and Vijayawada - Initial Footprint with 2 Stores Each:</w:t>
      </w:r>
    </w:p>
    <w:p w:rsidR="008D34B9" w:rsidRPr="008D34B9" w:rsidRDefault="008D34B9" w:rsidP="00C53257">
      <w:r w:rsidRPr="008D34B9">
        <w:t>Trivandrum and Vijayawada show an initial footprint with 2 stores each. These cities represent opportunities for expansion and increased market penetration. Strategically investing in these regions could yield significant returns.</w:t>
      </w:r>
    </w:p>
    <w:p w:rsidR="008D34B9" w:rsidRPr="008D34B9" w:rsidRDefault="008D34B9" w:rsidP="00C53257">
      <w:r w:rsidRPr="008D34B9">
        <w:rPr>
          <w:b/>
          <w:bCs/>
          <w:bdr w:val="single" w:sz="2" w:space="0" w:color="D9D9E3" w:frame="1"/>
        </w:rPr>
        <w:t>Strategic Insights:</w:t>
      </w:r>
    </w:p>
    <w:p w:rsidR="008D34B9" w:rsidRPr="008D34B9" w:rsidRDefault="008D34B9" w:rsidP="00C53257">
      <w:r w:rsidRPr="008D34B9">
        <w:t>The concentration of stores in key cities like Bengaluru and Chennai highlights their strategic importance as major market contributors.</w:t>
      </w:r>
    </w:p>
    <w:p w:rsidR="008D34B9" w:rsidRPr="008D34B9" w:rsidRDefault="008D34B9" w:rsidP="00C53257">
      <w:r w:rsidRPr="008D34B9">
        <w:t>Exploring consumer behavior, preferences, and competition dynamics in each city can provide valuable insights for targeted marketing and operational enhancements.</w:t>
      </w:r>
    </w:p>
    <w:p w:rsidR="008D34B9" w:rsidRPr="008D34B9" w:rsidRDefault="008D34B9" w:rsidP="00C53257">
      <w:r w:rsidRPr="008D34B9">
        <w:t>Consideration should be given to potential expansion in cities with a lower store count to tap into untapped markets and increase overall market share.</w:t>
      </w:r>
    </w:p>
    <w:p w:rsidR="008D34B9" w:rsidRDefault="003F5216" w:rsidP="008D34B9">
      <w:r>
        <w:lastRenderedPageBreak/>
        <w:t>Request_3</w:t>
      </w:r>
    </w:p>
    <w:p w:rsidR="00903D66" w:rsidRPr="00903D66" w:rsidRDefault="00903D66" w:rsidP="00903D66">
      <w:pPr>
        <w:rPr>
          <w:b/>
        </w:rPr>
      </w:pPr>
      <w:r w:rsidRPr="00903D66">
        <w:rPr>
          <w:b/>
          <w:bdr w:val="single" w:sz="2" w:space="0" w:color="D9D9E3" w:frame="1"/>
        </w:rPr>
        <w:t>Financial Impact Evaluation of Promotional Campaigns</w:t>
      </w:r>
    </w:p>
    <w:p w:rsidR="00903D66" w:rsidRPr="00903D66" w:rsidRDefault="00903D66" w:rsidP="00903D66">
      <w:r w:rsidRPr="00903D66">
        <w:rPr>
          <w:bdr w:val="single" w:sz="2" w:space="0" w:color="D9D9E3" w:frame="1"/>
        </w:rPr>
        <w:t>Introduction:</w:t>
      </w:r>
      <w:r w:rsidRPr="00903D66">
        <w:t xml:space="preserve"> Understanding the financial impact of promotional campaigns is crucial for assessing their effectiveness. This report provides a detailed analysis of revenue changes before and after two key campaigns - Diwali and Sankranti.</w:t>
      </w:r>
    </w:p>
    <w:p w:rsidR="00903D66" w:rsidRPr="00903D66" w:rsidRDefault="00903D66" w:rsidP="00903D66">
      <w:r w:rsidRPr="00903D66">
        <w:rPr>
          <w:bdr w:val="single" w:sz="2" w:space="0" w:color="D9D9E3" w:frame="1"/>
        </w:rPr>
        <w:t>Key Findings:</w:t>
      </w:r>
    </w:p>
    <w:p w:rsidR="00903D66" w:rsidRPr="00903D66" w:rsidRDefault="00903D66" w:rsidP="00903D66">
      <w:r w:rsidRPr="00903D66">
        <w:rPr>
          <w:b/>
          <w:bdr w:val="single" w:sz="2" w:space="0" w:color="D9D9E3" w:frame="1"/>
        </w:rPr>
        <w:t>Diwali Campaign</w:t>
      </w:r>
      <w:r w:rsidRPr="00903D66">
        <w:rPr>
          <w:bdr w:val="single" w:sz="2" w:space="0" w:color="D9D9E3" w:frame="1"/>
        </w:rPr>
        <w:t>:</w:t>
      </w:r>
    </w:p>
    <w:p w:rsidR="00903D66" w:rsidRPr="00903D66" w:rsidRDefault="00903D66" w:rsidP="00903D66">
      <w:r w:rsidRPr="00903D66">
        <w:rPr>
          <w:bdr w:val="single" w:sz="2" w:space="0" w:color="D9D9E3" w:frame="1"/>
        </w:rPr>
        <w:t>Total Revenue (Before Promotion):</w:t>
      </w:r>
      <w:r w:rsidRPr="00903D66">
        <w:t xml:space="preserve"> $82.57 million</w:t>
      </w:r>
    </w:p>
    <w:p w:rsidR="00903D66" w:rsidRPr="00903D66" w:rsidRDefault="00903D66" w:rsidP="00903D66">
      <w:r w:rsidRPr="00903D66">
        <w:rPr>
          <w:bdr w:val="single" w:sz="2" w:space="0" w:color="D9D9E3" w:frame="1"/>
        </w:rPr>
        <w:t>Total Revenue (After Promotion):</w:t>
      </w:r>
      <w:r w:rsidRPr="00903D66">
        <w:t xml:space="preserve"> $207.46 million</w:t>
      </w:r>
    </w:p>
    <w:p w:rsidR="00903D66" w:rsidRPr="00903D66" w:rsidRDefault="00903D66" w:rsidP="00903D66">
      <w:r w:rsidRPr="00903D66">
        <w:rPr>
          <w:i/>
          <w:iCs/>
          <w:bdr w:val="single" w:sz="2" w:space="0" w:color="D9D9E3" w:frame="1"/>
        </w:rPr>
        <w:t>Insights:</w:t>
      </w:r>
      <w:r w:rsidRPr="00903D66">
        <w:t xml:space="preserve"> The Diwali campaign exhibited a substantial increase in total revenue from $82.57 million before the promotion to an impressive $207.46 million after. This remarkable uplift indicates a significant positive response to the Diwali promotional efforts, demonstrating the campaign's effectiveness in driving sales and revenue growth.</w:t>
      </w:r>
    </w:p>
    <w:p w:rsidR="00903D66" w:rsidRPr="00903D66" w:rsidRDefault="00903D66" w:rsidP="00903D66">
      <w:r w:rsidRPr="00903D66">
        <w:rPr>
          <w:b/>
          <w:bdr w:val="single" w:sz="2" w:space="0" w:color="D9D9E3" w:frame="1"/>
        </w:rPr>
        <w:t>Sankranti Campaign</w:t>
      </w:r>
      <w:r w:rsidRPr="00903D66">
        <w:rPr>
          <w:bdr w:val="single" w:sz="2" w:space="0" w:color="D9D9E3" w:frame="1"/>
        </w:rPr>
        <w:t>:</w:t>
      </w:r>
    </w:p>
    <w:p w:rsidR="00903D66" w:rsidRPr="00903D66" w:rsidRDefault="00903D66" w:rsidP="00903D66">
      <w:r w:rsidRPr="00903D66">
        <w:rPr>
          <w:bdr w:val="single" w:sz="2" w:space="0" w:color="D9D9E3" w:frame="1"/>
        </w:rPr>
        <w:t>Total Revenue (Before Promotion):</w:t>
      </w:r>
      <w:r w:rsidRPr="00903D66">
        <w:t xml:space="preserve"> $58.13 million</w:t>
      </w:r>
    </w:p>
    <w:p w:rsidR="00903D66" w:rsidRPr="00903D66" w:rsidRDefault="00903D66" w:rsidP="00903D66">
      <w:r w:rsidRPr="00903D66">
        <w:rPr>
          <w:bdr w:val="single" w:sz="2" w:space="0" w:color="D9D9E3" w:frame="1"/>
        </w:rPr>
        <w:t>Total Revenue (After Promotion):</w:t>
      </w:r>
      <w:r w:rsidRPr="00903D66">
        <w:t xml:space="preserve"> $140.40 million</w:t>
      </w:r>
    </w:p>
    <w:p w:rsidR="00903D66" w:rsidRPr="00903D66" w:rsidRDefault="00903D66" w:rsidP="00903D66">
      <w:r w:rsidRPr="00903D66">
        <w:rPr>
          <w:i/>
          <w:iCs/>
          <w:bdr w:val="single" w:sz="2" w:space="0" w:color="D9D9E3" w:frame="1"/>
        </w:rPr>
        <w:t>Insights:</w:t>
      </w:r>
      <w:r w:rsidRPr="00903D66">
        <w:t xml:space="preserve"> The Sankranti campaign also demonstrated a notable impact on revenue. The total revenue increased from $58.13 million before the promotion to $140.40 million after. This substantial growth underscores the success of the Sankranti campaign in attracting customer attention and boosting sales.</w:t>
      </w:r>
    </w:p>
    <w:p w:rsidR="00903D66" w:rsidRPr="00903D66" w:rsidRDefault="00903D66" w:rsidP="00903D66">
      <w:r w:rsidRPr="00903D66">
        <w:rPr>
          <w:bdr w:val="single" w:sz="2" w:space="0" w:color="D9D9E3" w:frame="1"/>
        </w:rPr>
        <w:t>Overall Impact:</w:t>
      </w:r>
    </w:p>
    <w:p w:rsidR="00903D66" w:rsidRPr="00903D66" w:rsidRDefault="00903D66" w:rsidP="00903D66">
      <w:r w:rsidRPr="00903D66">
        <w:rPr>
          <w:bdr w:val="single" w:sz="2" w:space="0" w:color="D9D9E3" w:frame="1"/>
        </w:rPr>
        <w:t>Promotional Effectiveness:</w:t>
      </w:r>
      <w:r w:rsidRPr="00903D66">
        <w:t xml:space="preserve"> Both campaigns, Diwali and Sankranti, showcased a remarkable increase in revenue after the promotions, indicating a positive response from the customer base.</w:t>
      </w:r>
    </w:p>
    <w:p w:rsidR="00903D66" w:rsidRPr="00903D66" w:rsidRDefault="00903D66" w:rsidP="00903D66">
      <w:r w:rsidRPr="00903D66">
        <w:rPr>
          <w:bdr w:val="single" w:sz="2" w:space="0" w:color="D9D9E3" w:frame="1"/>
        </w:rPr>
        <w:t>Strategic Planning:</w:t>
      </w:r>
      <w:r w:rsidRPr="00903D66">
        <w:t xml:space="preserve"> The significant growth in revenue post-campaigns emphasizes the importance of strategic planning and execution in promotional activities. Understanding customer preferences during festive seasons can lead to targeted and impactful campaigns.</w:t>
      </w:r>
    </w:p>
    <w:p w:rsidR="00903D66" w:rsidRPr="00903D66" w:rsidRDefault="00903D66" w:rsidP="00903D66">
      <w:r w:rsidRPr="00903D66">
        <w:rPr>
          <w:bdr w:val="single" w:sz="2" w:space="0" w:color="D9D9E3" w:frame="1"/>
        </w:rPr>
        <w:t>ROI Assessment:</w:t>
      </w:r>
      <w:r w:rsidRPr="00903D66">
        <w:t xml:space="preserve"> The substantial uplift in revenue post-promotion highlights a positive return on investment (ROI) for the promotional efforts during Diwali and Sankranti. This suggests that the resources allocated to these campaigns were well-utilized and resulted in a notable financial impact.</w:t>
      </w:r>
    </w:p>
    <w:p w:rsidR="00903D66" w:rsidRPr="00903D66" w:rsidRDefault="00903D66" w:rsidP="00903D66">
      <w:r w:rsidRPr="00903D66">
        <w:rPr>
          <w:bdr w:val="single" w:sz="2" w:space="0" w:color="D9D9E3" w:frame="1"/>
        </w:rPr>
        <w:t>Recommendations:</w:t>
      </w:r>
    </w:p>
    <w:p w:rsidR="00903D66" w:rsidRPr="00903D66" w:rsidRDefault="00903D66" w:rsidP="00903D66">
      <w:r w:rsidRPr="00903D66">
        <w:rPr>
          <w:bdr w:val="single" w:sz="2" w:space="0" w:color="D9D9E3" w:frame="1"/>
        </w:rPr>
        <w:t>Optimization Opportunities:</w:t>
      </w:r>
      <w:r w:rsidRPr="00903D66">
        <w:t xml:space="preserve"> Analyze the successful elements of these campaigns for potential optimization in future promotions.</w:t>
      </w:r>
    </w:p>
    <w:p w:rsidR="00903D66" w:rsidRPr="00903D66" w:rsidRDefault="00903D66" w:rsidP="00903D66">
      <w:r w:rsidRPr="00903D66">
        <w:rPr>
          <w:bdr w:val="single" w:sz="2" w:space="0" w:color="D9D9E3" w:frame="1"/>
        </w:rPr>
        <w:t>Customer Engagement:</w:t>
      </w:r>
      <w:r w:rsidRPr="00903D66">
        <w:t xml:space="preserve"> Leverage insights from these campaigns to enhance customer engagement strategies during similar festive periods.</w:t>
      </w:r>
    </w:p>
    <w:p w:rsidR="00CD3029" w:rsidRPr="00903D66" w:rsidRDefault="00CD3029" w:rsidP="00903D66"/>
    <w:p w:rsidR="003F5216" w:rsidRDefault="003F5216" w:rsidP="008D34B9"/>
    <w:p w:rsidR="009E4E36" w:rsidRDefault="00584AA1" w:rsidP="009E4E36">
      <w:r>
        <w:lastRenderedPageBreak/>
        <w:t>Request_4</w:t>
      </w:r>
    </w:p>
    <w:p w:rsidR="00584AA1" w:rsidRDefault="00584AA1" w:rsidP="009E4E36">
      <w:pPr>
        <w:rPr>
          <w:rFonts w:ascii="Segoe UI" w:hAnsi="Segoe UI" w:cs="Segoe UI"/>
          <w:color w:val="374151"/>
        </w:rPr>
      </w:pPr>
      <w:r>
        <w:rPr>
          <w:rFonts w:ascii="Segoe UI" w:hAnsi="Segoe UI" w:cs="Segoe UI"/>
          <w:color w:val="374151"/>
        </w:rPr>
        <w:t>Based on the analysis of the Diwali campaign, it is evident that Home Appliance and Combo 1 categories experienced the highest Incremental Sold Quantity (</w:t>
      </w:r>
      <w:proofErr w:type="gramStart"/>
      <w:r>
        <w:rPr>
          <w:rFonts w:ascii="Segoe UI" w:hAnsi="Segoe UI" w:cs="Segoe UI"/>
          <w:color w:val="374151"/>
        </w:rPr>
        <w:t>ISU%</w:t>
      </w:r>
      <w:proofErr w:type="gramEnd"/>
      <w:r>
        <w:rPr>
          <w:rFonts w:ascii="Segoe UI" w:hAnsi="Segoe UI" w:cs="Segoe UI"/>
          <w:color w:val="374151"/>
        </w:rPr>
        <w:t>) with impressive figures of 244.23% and 202.35%, respectively. These categories have demonstrated substantial growth during the campaign. Home Care follows with a respectable ISU% of 79.63%, indicating a positive impact. Personal Care and Grocery Staples, while still contributing, have comparatively lower ISU% values of 31.05% and 18.04%, respectively. This insights report highlights the varying degrees of success across categories, allowing for a nuanced understanding of the campaign's impact on incremental sales.</w:t>
      </w:r>
    </w:p>
    <w:p w:rsidR="00584AA1" w:rsidRDefault="00584AA1" w:rsidP="00584AA1">
      <w:r>
        <w:t xml:space="preserve">Strategies: </w:t>
      </w:r>
    </w:p>
    <w:p w:rsidR="00584AA1" w:rsidRDefault="00584AA1" w:rsidP="00584AA1">
      <w:r>
        <w:rPr>
          <w:rStyle w:val="Strong"/>
          <w:rFonts w:ascii="Segoe UI" w:hAnsi="Segoe UI" w:cs="Segoe UI"/>
          <w:color w:val="374151"/>
          <w:bdr w:val="single" w:sz="2" w:space="0" w:color="D9D9E3" w:frame="1"/>
        </w:rPr>
        <w:t>Leverage Success Categories:</w:t>
      </w:r>
      <w:r>
        <w:t xml:space="preserve"> Allocate more resources and marketing efforts towards Home Appliance and Combo 1 categories, capitalizing on their high ISU% to maximize incremental sales.</w:t>
      </w:r>
    </w:p>
    <w:p w:rsidR="00584AA1" w:rsidRDefault="00584AA1" w:rsidP="00584AA1">
      <w:r>
        <w:rPr>
          <w:rStyle w:val="Strong"/>
          <w:rFonts w:ascii="Segoe UI" w:hAnsi="Segoe UI" w:cs="Segoe UI"/>
          <w:color w:val="374151"/>
          <w:bdr w:val="single" w:sz="2" w:space="0" w:color="D9D9E3" w:frame="1"/>
        </w:rPr>
        <w:t>Optimize Home Care Positioning:</w:t>
      </w:r>
      <w:r>
        <w:t xml:space="preserve"> Fine-tune marketing strategies for Home Care to further boost its positive impact. Identify key factors contributing to its success and emphasize them in future campaigns.</w:t>
      </w:r>
    </w:p>
    <w:p w:rsidR="00584AA1" w:rsidRDefault="00584AA1" w:rsidP="00584AA1">
      <w:r>
        <w:rPr>
          <w:rStyle w:val="Strong"/>
          <w:rFonts w:ascii="Segoe UI" w:hAnsi="Segoe UI" w:cs="Segoe UI"/>
          <w:color w:val="374151"/>
          <w:bdr w:val="single" w:sz="2" w:space="0" w:color="D9D9E3" w:frame="1"/>
        </w:rPr>
        <w:t>Refine Personal Care and Grocery Staples Approaches:</w:t>
      </w:r>
      <w:r>
        <w:t xml:space="preserve"> Tailor campaigns for Personal Care and Grocery Staples to enhance their ISU%. Explore innovative marketing techniques and promotions to drive increased sales in these categories.</w:t>
      </w:r>
    </w:p>
    <w:p w:rsidR="00584AA1" w:rsidRDefault="00584AA1" w:rsidP="00584AA1">
      <w:r>
        <w:rPr>
          <w:rStyle w:val="Strong"/>
          <w:rFonts w:ascii="Segoe UI" w:hAnsi="Segoe UI" w:cs="Segoe UI"/>
          <w:color w:val="374151"/>
          <w:bdr w:val="single" w:sz="2" w:space="0" w:color="D9D9E3" w:frame="1"/>
        </w:rPr>
        <w:t>Segmented Campaigns:</w:t>
      </w:r>
      <w:r>
        <w:t xml:space="preserve"> Consider implementing more targeted and personalized campaigns based on the performance of each category. This approach can help optimize resources and better cater to diverse consumer preferences.</w:t>
      </w:r>
    </w:p>
    <w:p w:rsidR="00584AA1" w:rsidRDefault="00584AA1" w:rsidP="00584AA1">
      <w:r>
        <w:rPr>
          <w:rStyle w:val="Strong"/>
          <w:rFonts w:ascii="Segoe UI" w:hAnsi="Segoe UI" w:cs="Segoe UI"/>
          <w:color w:val="374151"/>
          <w:bdr w:val="single" w:sz="2" w:space="0" w:color="D9D9E3" w:frame="1"/>
        </w:rPr>
        <w:t>Continuous Monitoring and Adaptation:</w:t>
      </w:r>
      <w:r>
        <w:t xml:space="preserve"> Implement a system for real-time monitoring of campaign performance. Be prepared to adapt strategies based on evolving market trends and consumer behavior to ensure ongoing success.</w:t>
      </w:r>
    </w:p>
    <w:p w:rsidR="00584AA1" w:rsidRDefault="00584AA1" w:rsidP="00584AA1"/>
    <w:p w:rsidR="00584AA1" w:rsidRDefault="00584AA1" w:rsidP="009E4E36">
      <w:r>
        <w:t>Request_5</w:t>
      </w:r>
    </w:p>
    <w:p w:rsidR="00584AA1" w:rsidRPr="00CD7E37" w:rsidRDefault="00584AA1" w:rsidP="00584AA1">
      <w:pPr>
        <w:rPr>
          <w:rFonts w:ascii="Segoe UI" w:hAnsi="Segoe UI" w:cs="Segoe UI"/>
          <w:b/>
          <w:bCs/>
          <w:color w:val="374151"/>
          <w:bdr w:val="single" w:sz="2" w:space="0" w:color="D9D9E3" w:frame="1"/>
        </w:rPr>
      </w:pPr>
      <w:r>
        <w:rPr>
          <w:rStyle w:val="Strong"/>
          <w:rFonts w:ascii="Segoe UI" w:hAnsi="Segoe UI" w:cs="Segoe UI"/>
          <w:color w:val="374151"/>
          <w:bdr w:val="single" w:sz="2" w:space="0" w:color="D9D9E3" w:frame="1"/>
        </w:rPr>
        <w:t>Dom</w:t>
      </w:r>
      <w:bookmarkStart w:id="0" w:name="_GoBack"/>
      <w:bookmarkEnd w:id="0"/>
      <w:r>
        <w:rPr>
          <w:rStyle w:val="Strong"/>
          <w:rFonts w:ascii="Segoe UI" w:hAnsi="Segoe UI" w:cs="Segoe UI"/>
          <w:color w:val="374151"/>
          <w:bdr w:val="single" w:sz="2" w:space="0" w:color="D9D9E3" w:frame="1"/>
        </w:rPr>
        <w:t>inant Products in Home Appliances:</w:t>
      </w:r>
      <w:r>
        <w:t xml:space="preserve"> </w:t>
      </w:r>
      <w:proofErr w:type="spellStart"/>
      <w:r>
        <w:t>Atliq_waterproof_Immersion_Rod</w:t>
      </w:r>
      <w:proofErr w:type="spellEnd"/>
      <w:r>
        <w:t xml:space="preserve"> and Atliq_High_Glo_15W_LED_Bulb exhibit exceptional performance with IR% values of 266.18% and 262.98%, respectively. This suggests a significant consumer preference for innovative and high-quality home appliances.</w:t>
      </w:r>
    </w:p>
    <w:p w:rsidR="00584AA1" w:rsidRDefault="00584AA1" w:rsidP="00584AA1">
      <w:r>
        <w:rPr>
          <w:rStyle w:val="Strong"/>
          <w:rFonts w:ascii="Segoe UI" w:hAnsi="Segoe UI" w:cs="Segoe UI"/>
          <w:color w:val="374151"/>
          <w:bdr w:val="single" w:sz="2" w:space="0" w:color="D9D9E3" w:frame="1"/>
        </w:rPr>
        <w:t>Success in Home Care Category:</w:t>
      </w:r>
      <w:r>
        <w:t xml:space="preserve"> </w:t>
      </w:r>
      <w:proofErr w:type="spellStart"/>
      <w:r>
        <w:t>Atliq_Double_Bedsheet_set</w:t>
      </w:r>
      <w:proofErr w:type="spellEnd"/>
      <w:r>
        <w:t xml:space="preserve"> and </w:t>
      </w:r>
      <w:proofErr w:type="spellStart"/>
      <w:r>
        <w:t>Atliq_Curtains</w:t>
      </w:r>
      <w:proofErr w:type="spellEnd"/>
      <w:r>
        <w:t xml:space="preserve"> stand out in the Home Care category, boasting impressive IR% values of 258.26% and 255.26%, respectively. This highlights the importance of offering attractive and functional home care products in driving incremental revenue.</w:t>
      </w:r>
    </w:p>
    <w:p w:rsidR="00584AA1" w:rsidRDefault="00584AA1" w:rsidP="00584AA1">
      <w:r>
        <w:rPr>
          <w:rStyle w:val="Strong"/>
          <w:rFonts w:ascii="Segoe UI" w:hAnsi="Segoe UI" w:cs="Segoe UI"/>
          <w:color w:val="374151"/>
          <w:bdr w:val="single" w:sz="2" w:space="0" w:color="D9D9E3" w:frame="1"/>
        </w:rPr>
        <w:t>Combo1 Category Optimization:</w:t>
      </w:r>
      <w:r>
        <w:t xml:space="preserve"> Atliq_Home_Essential_8_Product_Combo in Combo1 category, while still successful with 183.33% IR%, shows room for improvement. Exploring ways to enhance the combo offering or introducing complementary products may further elevate its performance.</w:t>
      </w:r>
    </w:p>
    <w:p w:rsidR="00584AA1" w:rsidRDefault="00584AA1" w:rsidP="00584AA1">
      <w:r>
        <w:rPr>
          <w:rStyle w:val="Strong"/>
          <w:rFonts w:ascii="Segoe UI" w:hAnsi="Segoe UI" w:cs="Segoe UI"/>
          <w:color w:val="374151"/>
          <w:bdr w:val="single" w:sz="2" w:space="0" w:color="D9D9E3" w:frame="1"/>
        </w:rPr>
        <w:t>Future Strategies:</w:t>
      </w:r>
    </w:p>
    <w:p w:rsidR="00584AA1" w:rsidRDefault="00584AA1" w:rsidP="00584AA1">
      <w:r>
        <w:rPr>
          <w:rStyle w:val="Strong"/>
          <w:rFonts w:ascii="Segoe UI" w:hAnsi="Segoe UI" w:cs="Segoe UI"/>
          <w:color w:val="374151"/>
          <w:bdr w:val="single" w:sz="2" w:space="0" w:color="D9D9E3" w:frame="1"/>
        </w:rPr>
        <w:t>Product-Specific Marketing:</w:t>
      </w:r>
      <w:r>
        <w:t xml:space="preserve"> Focus on targeted marketing campaigns for the top-performing products in Home Appliances and Home Care. Highlight unique features and benefits to attract and retain customers.</w:t>
      </w:r>
    </w:p>
    <w:p w:rsidR="00584AA1" w:rsidRDefault="00584AA1" w:rsidP="00584AA1">
      <w:r>
        <w:rPr>
          <w:rStyle w:val="Strong"/>
          <w:rFonts w:ascii="Segoe UI" w:hAnsi="Segoe UI" w:cs="Segoe UI"/>
          <w:color w:val="374151"/>
          <w:bdr w:val="single" w:sz="2" w:space="0" w:color="D9D9E3" w:frame="1"/>
        </w:rPr>
        <w:t>Diversification within Categories:</w:t>
      </w:r>
      <w:r>
        <w:t xml:space="preserve"> Explore opportunities to expand the product range within successful categories. Introduce variations or complementary items to capitalize on the existing consumer interest.</w:t>
      </w:r>
    </w:p>
    <w:p w:rsidR="00584AA1" w:rsidRDefault="00584AA1" w:rsidP="00584AA1">
      <w:r>
        <w:rPr>
          <w:rStyle w:val="Strong"/>
          <w:rFonts w:ascii="Segoe UI" w:hAnsi="Segoe UI" w:cs="Segoe UI"/>
          <w:color w:val="374151"/>
          <w:bdr w:val="single" w:sz="2" w:space="0" w:color="D9D9E3" w:frame="1"/>
        </w:rPr>
        <w:lastRenderedPageBreak/>
        <w:t>Bundle Optimization:</w:t>
      </w:r>
      <w:r>
        <w:t xml:space="preserve"> For the Combo1 category, evaluate the composition of the Atliq_Home_Essential_8_Product_Combo. Consider refining the bundle by adjusting product combinations or introducing exclusive promotions to enhance its appeal.</w:t>
      </w:r>
    </w:p>
    <w:p w:rsidR="00584AA1" w:rsidRDefault="00584AA1" w:rsidP="00584AA1">
      <w:r>
        <w:rPr>
          <w:rStyle w:val="Strong"/>
          <w:rFonts w:ascii="Segoe UI" w:hAnsi="Segoe UI" w:cs="Segoe UI"/>
          <w:color w:val="374151"/>
          <w:bdr w:val="single" w:sz="2" w:space="0" w:color="D9D9E3" w:frame="1"/>
        </w:rPr>
        <w:t>Continuous Monitoring and Adaptation:</w:t>
      </w:r>
      <w:r>
        <w:t xml:space="preserve"> Regularly analyze sales data to identify emerging trends and consumer preferences. Be agile in adjusting strategies to align with market dynamics and maintain a competitive edge.</w:t>
      </w:r>
    </w:p>
    <w:p w:rsidR="00584AA1" w:rsidRDefault="00584AA1" w:rsidP="00584AA1">
      <w:r>
        <w:rPr>
          <w:rStyle w:val="Strong"/>
          <w:rFonts w:ascii="Segoe UI" w:hAnsi="Segoe UI" w:cs="Segoe UI"/>
          <w:color w:val="374151"/>
          <w:bdr w:val="single" w:sz="2" w:space="0" w:color="D9D9E3" w:frame="1"/>
        </w:rPr>
        <w:t>Customer Feedback Integration:</w:t>
      </w:r>
      <w:r>
        <w:t xml:space="preserve"> Gather feedback on the top-performing products to understand customer preferences and expectations. Use this information to refine existing products and guide the development of new offerings in future campaigns.</w:t>
      </w:r>
    </w:p>
    <w:p w:rsidR="00584AA1" w:rsidRPr="009E4E36" w:rsidRDefault="00584AA1" w:rsidP="009E4E36"/>
    <w:p w:rsidR="002E5748" w:rsidRDefault="002E5748" w:rsidP="009E4E36"/>
    <w:sectPr w:rsidR="002E5748" w:rsidSect="00F56FFD">
      <w:pgSz w:w="11907" w:h="16839" w:code="9"/>
      <w:pgMar w:top="2030" w:right="576" w:bottom="346" w:left="36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C9B"/>
    <w:multiLevelType w:val="multilevel"/>
    <w:tmpl w:val="A0D4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C0DE4"/>
    <w:multiLevelType w:val="multilevel"/>
    <w:tmpl w:val="4572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62461"/>
    <w:multiLevelType w:val="multilevel"/>
    <w:tmpl w:val="B54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040CB"/>
    <w:multiLevelType w:val="multilevel"/>
    <w:tmpl w:val="CF7A0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6B231E"/>
    <w:multiLevelType w:val="multilevel"/>
    <w:tmpl w:val="CF72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8401F0"/>
    <w:multiLevelType w:val="multilevel"/>
    <w:tmpl w:val="F8B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751C87"/>
    <w:multiLevelType w:val="multilevel"/>
    <w:tmpl w:val="3796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CA4CF3"/>
    <w:multiLevelType w:val="multilevel"/>
    <w:tmpl w:val="A800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3D2239"/>
    <w:multiLevelType w:val="multilevel"/>
    <w:tmpl w:val="1CBE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F83A24"/>
    <w:multiLevelType w:val="multilevel"/>
    <w:tmpl w:val="4B94E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9C1408"/>
    <w:multiLevelType w:val="multilevel"/>
    <w:tmpl w:val="528C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3C6530"/>
    <w:multiLevelType w:val="multilevel"/>
    <w:tmpl w:val="6DEA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3"/>
  </w:num>
  <w:num w:numId="5">
    <w:abstractNumId w:val="2"/>
  </w:num>
  <w:num w:numId="6">
    <w:abstractNumId w:val="9"/>
  </w:num>
  <w:num w:numId="7">
    <w:abstractNumId w:val="0"/>
  </w:num>
  <w:num w:numId="8">
    <w:abstractNumId w:val="5"/>
  </w:num>
  <w:num w:numId="9">
    <w:abstractNumId w:val="8"/>
  </w:num>
  <w:num w:numId="10">
    <w:abstractNumId w:val="1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F57A0B"/>
    <w:rsid w:val="002E5748"/>
    <w:rsid w:val="003F5216"/>
    <w:rsid w:val="004378CC"/>
    <w:rsid w:val="00584AA1"/>
    <w:rsid w:val="007F6B8A"/>
    <w:rsid w:val="00816F47"/>
    <w:rsid w:val="008D34B9"/>
    <w:rsid w:val="00903D66"/>
    <w:rsid w:val="009E4E36"/>
    <w:rsid w:val="00C53257"/>
    <w:rsid w:val="00CD3029"/>
    <w:rsid w:val="00CD7E37"/>
    <w:rsid w:val="00F56FFD"/>
    <w:rsid w:val="00F57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17FB"/>
  <w15:chartTrackingRefBased/>
  <w15:docId w15:val="{9759AF81-4E39-44A3-9F68-B3E40553A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E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4E36"/>
    <w:rPr>
      <w:b/>
      <w:bCs/>
    </w:rPr>
  </w:style>
  <w:style w:type="character" w:styleId="Emphasis">
    <w:name w:val="Emphasis"/>
    <w:basedOn w:val="DefaultParagraphFont"/>
    <w:uiPriority w:val="20"/>
    <w:qFormat/>
    <w:rsid w:val="009E4E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8830">
      <w:bodyDiv w:val="1"/>
      <w:marLeft w:val="0"/>
      <w:marRight w:val="0"/>
      <w:marTop w:val="0"/>
      <w:marBottom w:val="0"/>
      <w:divBdr>
        <w:top w:val="none" w:sz="0" w:space="0" w:color="auto"/>
        <w:left w:val="none" w:sz="0" w:space="0" w:color="auto"/>
        <w:bottom w:val="none" w:sz="0" w:space="0" w:color="auto"/>
        <w:right w:val="none" w:sz="0" w:space="0" w:color="auto"/>
      </w:divBdr>
    </w:div>
    <w:div w:id="714543187">
      <w:bodyDiv w:val="1"/>
      <w:marLeft w:val="0"/>
      <w:marRight w:val="0"/>
      <w:marTop w:val="0"/>
      <w:marBottom w:val="0"/>
      <w:divBdr>
        <w:top w:val="none" w:sz="0" w:space="0" w:color="auto"/>
        <w:left w:val="none" w:sz="0" w:space="0" w:color="auto"/>
        <w:bottom w:val="none" w:sz="0" w:space="0" w:color="auto"/>
        <w:right w:val="none" w:sz="0" w:space="0" w:color="auto"/>
      </w:divBdr>
    </w:div>
    <w:div w:id="778571783">
      <w:bodyDiv w:val="1"/>
      <w:marLeft w:val="0"/>
      <w:marRight w:val="0"/>
      <w:marTop w:val="0"/>
      <w:marBottom w:val="0"/>
      <w:divBdr>
        <w:top w:val="none" w:sz="0" w:space="0" w:color="auto"/>
        <w:left w:val="none" w:sz="0" w:space="0" w:color="auto"/>
        <w:bottom w:val="none" w:sz="0" w:space="0" w:color="auto"/>
        <w:right w:val="none" w:sz="0" w:space="0" w:color="auto"/>
      </w:divBdr>
    </w:div>
    <w:div w:id="860165554">
      <w:bodyDiv w:val="1"/>
      <w:marLeft w:val="0"/>
      <w:marRight w:val="0"/>
      <w:marTop w:val="0"/>
      <w:marBottom w:val="0"/>
      <w:divBdr>
        <w:top w:val="none" w:sz="0" w:space="0" w:color="auto"/>
        <w:left w:val="none" w:sz="0" w:space="0" w:color="auto"/>
        <w:bottom w:val="none" w:sz="0" w:space="0" w:color="auto"/>
        <w:right w:val="none" w:sz="0" w:space="0" w:color="auto"/>
      </w:divBdr>
    </w:div>
    <w:div w:id="1150365531">
      <w:bodyDiv w:val="1"/>
      <w:marLeft w:val="0"/>
      <w:marRight w:val="0"/>
      <w:marTop w:val="0"/>
      <w:marBottom w:val="0"/>
      <w:divBdr>
        <w:top w:val="none" w:sz="0" w:space="0" w:color="auto"/>
        <w:left w:val="none" w:sz="0" w:space="0" w:color="auto"/>
        <w:bottom w:val="none" w:sz="0" w:space="0" w:color="auto"/>
        <w:right w:val="none" w:sz="0" w:space="0" w:color="auto"/>
      </w:divBdr>
    </w:div>
    <w:div w:id="127181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5</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c:creator>
  <cp:keywords/>
  <dc:description/>
  <cp:lastModifiedBy>ca</cp:lastModifiedBy>
  <cp:revision>5</cp:revision>
  <dcterms:created xsi:type="dcterms:W3CDTF">2024-02-02T05:52:00Z</dcterms:created>
  <dcterms:modified xsi:type="dcterms:W3CDTF">2024-02-05T11:46:00Z</dcterms:modified>
</cp:coreProperties>
</file>