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QUALITY ASSURANCE CASE STUDY - SANITIZED DEMO</w:t>
      </w:r>
    </w:p>
    <w:p>
      <w:pPr>
        <w:pStyle w:val="Heading1"/>
      </w:pPr>
      <w:r>
        <w:rPr/>
        <w:t xml:space="preserve">Cross-Border Checkout Reliability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Document Field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Version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</w:tr>
      <w:tr>
        <w:tc>
          <w:tcPr>
            <w:tcW w:w="0" w:type="auto"/>
          </w:tcPr>
          <w:p>
            <w:r>
              <w:t xml:space="preserve">Prepared By</w:t>
            </w:r>
          </w:p>
        </w:tc>
        <w:tc>
          <w:tcPr>
            <w:tcW w:w="0" w:type="auto"/>
          </w:tcPr>
          <w:p>
            <w:r>
              <w:t xml:space="preserve">Theodore - Software QA Engineer</w:t>
            </w:r>
          </w:p>
        </w:tc>
      </w:tr>
      <w:tr>
        <w:tc>
          <w:tcPr>
            <w:tcW w:w="0" w:type="auto"/>
          </w:tcPr>
          <w:p>
            <w:r>
              <w:t xml:space="preserve">Date</w:t>
            </w:r>
          </w:p>
        </w:tc>
        <w:tc>
          <w:tcPr>
            <w:tcW w:w="0" w:type="auto"/>
          </w:tcPr>
          <w:p>
            <w:r>
              <w:t xml:space="preserve">March 2026</w:t>
            </w:r>
          </w:p>
        </w:tc>
      </w:tr>
      <w:tr>
        <w:tc>
          <w:tcPr>
            <w:tcW w:w="0" w:type="auto"/>
          </w:tcPr>
          <w:p>
            <w:r>
              <w:t xml:space="preserve">Classification</w:t>
            </w:r>
          </w:p>
        </w:tc>
        <w:tc>
          <w:tcPr>
            <w:tcW w:w="0" w:type="auto"/>
          </w:tcPr>
          <w:p>
            <w:r>
              <w:t xml:space="preserve">Portfolio Sample (Sanitized)</w:t>
            </w:r>
          </w:p>
        </w:tc>
      </w:tr>
    </w:tbl>
    <w:p>
      <w:pPr>
        <w:pStyle w:val="Heading1"/>
      </w:pPr>
      <w:r>
        <w:rPr/>
        <w:t xml:space="preserve">Executive Summary</w:t>
      </w:r>
    </w:p>
    <w:p>
      <w:r>
        <w:rPr/>
        <w:t xml:space="preserve">This case study documents a risk-driven QA strategy for a cross-border logistics checkout flow with payment callback dependencies and approval workflow complexity.</w:t>
      </w:r>
    </w:p>
    <w:p>
      <w:pPr>
        <w:pStyle w:val="Heading1"/>
      </w:pPr>
      <w:r>
        <w:rPr/>
        <w:t xml:space="preserve">Context</w:t>
      </w:r>
    </w:p>
    <w:p>
      <w:r>
        <w:rPr/>
        <w:t xml:space="preserve">- Multi-currency checkout with dynamic conversion rules</w:t>
      </w:r>
    </w:p>
    <w:p>
      <w:r>
        <w:rPr/>
        <w:t xml:space="preserve">- Role-based approval before fulfillment</w:t>
      </w:r>
    </w:p>
    <w:p>
      <w:r>
        <w:rPr/>
        <w:t xml:space="preserve">- Cross-region API dependencies with retry behavior</w:t>
      </w:r>
    </w:p>
    <w:p>
      <w:pPr>
        <w:pStyle w:val="Heading1"/>
      </w:pPr>
      <w:r>
        <w:rPr/>
        <w:t xml:space="preserve">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In Scope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Out of Scope</w:t>
            </w:r>
          </w:p>
        </w:tc>
      </w:tr>
      <w:tr>
        <w:tc>
          <w:tcPr>
            <w:tcW w:w="0" w:type="auto"/>
          </w:tcPr>
          <w:p>
            <w:r>
              <w:t xml:space="preserve">Checkout totals and conversion</w:t>
            </w:r>
          </w:p>
        </w:tc>
        <w:tc>
          <w:tcPr>
            <w:tcW w:w="0" w:type="auto"/>
          </w:tcPr>
          <w:p>
            <w:r>
              <w:t xml:space="preserve">Marketing pages and CMS</w:t>
            </w:r>
          </w:p>
        </w:tc>
      </w:tr>
      <w:tr>
        <w:tc>
          <w:tcPr>
            <w:tcW w:w="0" w:type="auto"/>
          </w:tcPr>
          <w:p>
            <w:r>
              <w:t xml:space="preserve">Approval workflow states</w:t>
            </w:r>
          </w:p>
        </w:tc>
        <w:tc>
          <w:tcPr>
            <w:tcW w:w="0" w:type="auto"/>
          </w:tcPr>
          <w:p>
            <w:r>
              <w:t xml:space="preserve">Legacy archived orders</w:t>
            </w:r>
          </w:p>
        </w:tc>
      </w:tr>
      <w:tr>
        <w:tc>
          <w:tcPr>
            <w:tcW w:w="0" w:type="auto"/>
          </w:tcPr>
          <w:p>
            <w:r>
              <w:t xml:space="preserve">Payment callback handling</w:t>
            </w:r>
          </w:p>
        </w:tc>
        <w:tc>
          <w:tcPr>
            <w:tcW w:w="0" w:type="auto"/>
          </w:tcPr>
          <w:p>
            <w:r>
              <w:t xml:space="preserve">3rd party billing portal UI</w:t>
            </w:r>
          </w:p>
        </w:tc>
      </w:tr>
    </w:tbl>
    <w:p>
      <w:pPr>
        <w:pStyle w:val="Heading1"/>
      </w:pPr>
      <w:r>
        <w:rPr/>
        <w:t xml:space="preserve">Risk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Likelihood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Impact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Mitigation</w:t>
            </w:r>
          </w:p>
        </w:tc>
      </w:tr>
      <w:tr>
        <w:tc>
          <w:tcPr>
            <w:tcW w:w="0" w:type="auto"/>
          </w:tcPr>
          <w:p>
            <w:r>
              <w:t xml:space="preserve">Currency rounding mismatch</w:t>
            </w:r>
          </w:p>
        </w:tc>
        <w:tc>
          <w:tcPr>
            <w:tcW w:w="0" w:type="auto"/>
          </w:tcPr>
          <w:p>
            <w:r>
              <w:t xml:space="preserve">Medium</w:t>
            </w:r>
          </w:p>
        </w:tc>
        <w:tc>
          <w:tcPr>
            <w:tcW w:w="0" w:type="auto"/>
          </w:tcPr>
          <w:p>
            <w:r>
              <w:t xml:space="preserve">High</w:t>
            </w:r>
          </w:p>
        </w:tc>
        <w:tc>
          <w:tcPr>
            <w:tcW w:w="0" w:type="auto"/>
          </w:tcPr>
          <w:p>
            <w:r>
              <w:t xml:space="preserve">Boundary-value matrix and DB assertion</w:t>
            </w:r>
          </w:p>
        </w:tc>
      </w:tr>
      <w:tr>
        <w:tc>
          <w:tcPr>
            <w:tcW w:w="0" w:type="auto"/>
          </w:tcPr>
          <w:p>
            <w:r>
              <w:t xml:space="preserve">Approval race condition</w:t>
            </w:r>
          </w:p>
        </w:tc>
        <w:tc>
          <w:tcPr>
            <w:tcW w:w="0" w:type="auto"/>
          </w:tcPr>
          <w:p>
            <w:r>
              <w:t xml:space="preserve">Medium</w:t>
            </w:r>
          </w:p>
        </w:tc>
        <w:tc>
          <w:tcPr>
            <w:tcW w:w="0" w:type="auto"/>
          </w:tcPr>
          <w:p>
            <w:r>
              <w:t xml:space="preserve">High</w:t>
            </w:r>
          </w:p>
        </w:tc>
        <w:tc>
          <w:tcPr>
            <w:tcW w:w="0" w:type="auto"/>
          </w:tcPr>
          <w:p>
            <w:r>
              <w:t xml:space="preserve">Concurrent-event scenario tests</w:t>
            </w:r>
          </w:p>
        </w:tc>
      </w:tr>
      <w:tr>
        <w:tc>
          <w:tcPr>
            <w:tcW w:w="0" w:type="auto"/>
          </w:tcPr>
          <w:p>
            <w:r>
              <w:t xml:space="preserve">Callback retry inconsistency</w:t>
            </w:r>
          </w:p>
        </w:tc>
        <w:tc>
          <w:tcPr>
            <w:tcW w:w="0" w:type="auto"/>
          </w:tcPr>
          <w:p>
            <w:r>
              <w:t xml:space="preserve">Low</w:t>
            </w:r>
          </w:p>
        </w:tc>
        <w:tc>
          <w:tcPr>
            <w:tcW w:w="0" w:type="auto"/>
          </w:tcPr>
          <w:p>
            <w:r>
              <w:t xml:space="preserve">High</w:t>
            </w:r>
          </w:p>
        </w:tc>
        <w:tc>
          <w:tcPr>
            <w:tcW w:w="0" w:type="auto"/>
          </w:tcPr>
          <w:p>
            <w:r>
              <w:t xml:space="preserve">Negative API tests and idempotency checks</w:t>
            </w:r>
          </w:p>
        </w:tc>
      </w:tr>
    </w:tbl>
    <w:p>
      <w:pPr>
        <w:pStyle w:val="Heading1"/>
      </w:pPr>
      <w:r>
        <w:rPr/>
        <w:t xml:space="preserve">Test Strategy</w:t>
      </w:r>
    </w:p>
    <w:p>
      <w:r>
        <w:rPr/>
        <w:t xml:space="preserve">- Risk-based prioritization for financial critical path</w:t>
      </w:r>
    </w:p>
    <w:p>
      <w:r>
        <w:rPr/>
        <w:t xml:space="preserve">- Matrix-driven test data for role, region, currency, and order state</w:t>
      </w:r>
    </w:p>
    <w:p>
      <w:r>
        <w:rPr/>
        <w:t xml:space="preserve">- API contract and negative testing for resilience</w:t>
      </w:r>
    </w:p>
    <w:p>
      <w:r>
        <w:rPr/>
        <w:t xml:space="preserve">- Release triage by severity, user impact, and rollback complexity</w:t>
      </w:r>
    </w:p>
    <w:p>
      <w:pPr>
        <w:pStyle w:val="Heading1"/>
      </w:pPr>
      <w:r>
        <w:rPr/>
        <w:t xml:space="preserve">Key Findings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Finding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Severity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Summary</w:t>
            </w:r>
          </w:p>
        </w:tc>
      </w:tr>
      <w:tr>
        <w:tc>
          <w:tcPr>
            <w:tcW w:w="0" w:type="auto"/>
          </w:tcPr>
          <w:p>
            <w:r>
              <w:t xml:space="preserve">F-101</w:t>
            </w:r>
          </w:p>
        </w:tc>
        <w:tc>
          <w:tcPr>
            <w:tcW w:w="0" w:type="auto"/>
          </w:tcPr>
          <w:p>
            <w:r>
              <w:t xml:space="preserve">Critical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Rounding mismatch in two conversion scenarios</w:t>
            </w:r>
          </w:p>
        </w:tc>
      </w:tr>
      <w:tr>
        <w:tc>
          <w:tcPr>
            <w:tcW w:w="0" w:type="auto"/>
          </w:tcPr>
          <w:p>
            <w:r>
              <w:t xml:space="preserve">F-104</w:t>
            </w:r>
          </w:p>
        </w:tc>
        <w:tc>
          <w:tcPr>
            <w:tcW w:w="0" w:type="auto"/>
          </w:tcPr>
          <w:p>
            <w:r>
              <w:t xml:space="preserve">High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Approval state race under callback concurrency</w:t>
            </w:r>
          </w:p>
        </w:tc>
      </w:tr>
      <w:tr>
        <w:tc>
          <w:tcPr>
            <w:tcW w:w="0" w:type="auto"/>
          </w:tcPr>
          <w:p>
            <w:r>
              <w:t xml:space="preserve">F-109</w:t>
            </w:r>
          </w:p>
        </w:tc>
        <w:tc>
          <w:tcPr>
            <w:tcW w:w="0" w:type="auto"/>
          </w:tcPr>
          <w:p>
            <w:r>
              <w:t xml:space="preserve">Medium</w:t>
            </w:r>
          </w:p>
        </w:tc>
        <w:tc>
          <w:tcPr>
            <w:tcW w:w="0" w:type="auto"/>
          </w:tcPr>
          <w:p>
            <w:r>
              <w:t xml:space="preserve">Accepted</w:t>
            </w:r>
          </w:p>
        </w:tc>
        <w:tc>
          <w:tcPr>
            <w:tcW w:w="0" w:type="auto"/>
          </w:tcPr>
          <w:p>
            <w:r>
              <w:t xml:space="preserve">Retry delay edge case under unstable network</w:t>
            </w:r>
          </w:p>
        </w:tc>
      </w:tr>
    </w:tbl>
    <w:p>
      <w:pPr>
        <w:pStyle w:val="Heading1"/>
      </w:pPr>
      <w:r>
        <w:rPr/>
        <w:t xml:space="preserve">Impact and Release Recommendation</w:t>
      </w:r>
    </w:p>
    <w:p>
      <w:r>
        <w:rPr/>
        <w:t xml:space="preserve">- Critical issues detected and resolved before production</w:t>
      </w:r>
    </w:p>
    <w:p>
      <w:r>
        <w:rPr/>
        <w:t xml:space="preserve">- Higher release confidence for checkout and approval flow</w:t>
      </w:r>
    </w:p>
    <w:p>
      <w:r>
        <w:rPr/>
        <w:t xml:space="preserve">- Recommendation: GO with monitoring guardrail for retry anomalies</w:t>
      </w:r>
    </w:p>
    <w:p>
      <w:pPr>
        <w:pStyle w:val="Heading1"/>
      </w:pPr>
      <w:r>
        <w:rPr/>
        <w:t xml:space="preserve">Redaction Note</w:t>
      </w:r>
    </w:p>
    <w:p>
      <w:r>
        <w:rPr/>
        <w:t xml:space="preserve">All client names, internal IDs, endpoints, and personally identifiable data are masked for portfolio publication.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40"/>
    </w:rPr>
  </w:style>
  <w:style w:type="paragraph" w:styleId="Heading1">
    <w:name w:val="heading 1"/>
    <w:basedOn w:val="Normal"/>
    <w:qFormat/>
    <w:pPr>
      <w:spacing w:before="18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120" w:after="80"/>
    </w:pPr>
    <w:rPr>
      <w:b/>
      <w:sz w:val="24"/>
    </w:rPr>
  </w:style>
</w:styles>
</file>