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caps/>
          <w:color w:val="666666"/>
          <w:spacing w:val="200"/>
          <w:sz w:val="20"/>
          <w:szCs w:val="20"/>
        </w:rPr>
        <w:t xml:space="preserve">HEALTHCARE DATA ANALYSIS</w:t>
      </w:r>
    </w:p>
    <w:p>
      <w:pPr>
        <w:spacing w:before="100" w:after="100"/>
        <w:jc w:val="center"/>
      </w:pPr>
      <w:r>
        <w:rPr>
          <w:rFonts w:ascii="Arial" w:cs="Arial" w:eastAsia="Arial" w:hAnsi="Arial"/>
          <w:b/>
          <w:bCs/>
          <w:color w:val="1B4F8A"/>
          <w:sz w:val="56"/>
          <w:szCs w:val="56"/>
        </w:rPr>
        <w:t xml:space="preserve">Patient Readmission Analysis</w:t>
      </w:r>
    </w:p>
    <w:p>
      <w:pPr>
        <w:spacing w:before="80" w:after="80"/>
        <w:jc w:val="center"/>
      </w:pPr>
      <w:r>
        <w:rPr>
          <w:rFonts w:ascii="Arial" w:cs="Arial" w:eastAsia="Arial" w:hAnsi="Arial"/>
          <w:i/>
          <w:iCs/>
          <w:color w:val="1A7A6E"/>
          <w:sz w:val="26"/>
          <w:szCs w:val="26"/>
        </w:rPr>
        <w:t xml:space="preserve">End-to-End Data Analysis — SQL · Statistics · Rule-Based Scoring</w:t>
      </w:r>
    </w:p>
    <w:p>
      <w:r>
        <w:t xml:space="preserve"/>
      </w:r>
    </w:p>
    <w:p>
      <w:r>
        <w:t xml:space="preserve"/>
      </w:r>
    </w:p>
    <w:p>
      <w:pPr>
        <w:pBdr>
          <w:top w:val="single" w:color="CCCCCC" w:sz="2"/>
          <w:bottom w:val="single" w:color="CCCCCC" w:sz="2"/>
        </w:pBdr>
        <w:spacing w:before="160" w:after="160"/>
        <w:jc w:val="center"/>
      </w:pPr>
      <w:r>
        <w:rPr>
          <w:rFonts w:ascii="Arial" w:cs="Arial" w:eastAsia="Arial" w:hAnsi="Arial"/>
          <w:color w:val="666666"/>
          <w:sz w:val="20"/>
          <w:szCs w:val="20"/>
        </w:rPr>
        <w:t xml:space="preserve">Prepared by: [Your Name]   |   2025   |   Tools: Python · SQL · Tableau / Power BI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14"/>
              <w:bottom w:val="single" w:color="CCCCCC" w:sz="1"/>
              <w:right w:val="single" w:color="CCCCCC" w:sz="1"/>
            </w:tcBorders>
            <w:shd w:fill="EBF5E9" w:val="clear"/>
            <w:tcMar>
              <w:top w:type="dxa" w:w="120"/>
              <w:left w:type="dxa" w:w="200"/>
              <w:bottom w:type="dxa" w:w="120"/>
              <w:right w:type="dxa" w:w="120"/>
            </w:tcMar>
          </w:tcPr>
          <w:p>
            <w:r>
              <w:rPr>
                <w:rFonts w:ascii="Arial" w:cs="Arial" w:eastAsia="Arial" w:hAnsi="Arial"/>
                <w:i/>
                <w:iCs/>
                <w:color w:val="1B3A6A"/>
                <w:sz w:val="21"/>
                <w:szCs w:val="21"/>
              </w:rPr>
              <w:t xml:space="preserve">This report uses no machine learning. All findings are derived from SQL queries, descriptive statistics, significance testing (t-test, chi-square), and a transparent rule-based risk score — fully understandable and auditable by clinical staff without data science expertise.</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8A" w:sz="8"/>
              <w:left w:val="single" w:color="CCCCCC" w:sz="1"/>
              <w:bottom w:val="single" w:color="CCCCCC" w:sz="1"/>
              <w:right w:val="single" w:color="CCCCCC" w:sz="1"/>
            </w:tcBorders>
            <w:shd w:fill="FAFAFA" w:val="clear"/>
            <w:tcMar>
              <w:top w:type="dxa" w:w="160"/>
              <w:left w:type="dxa" w:w="120"/>
              <w:bottom w:type="dxa" w:w="160"/>
              <w:right w:type="dxa" w:w="120"/>
            </w:tcMar>
          </w:tcPr>
          <w:p>
            <w:pPr>
              <w:jc w:val="center"/>
            </w:pPr>
            <w:r>
              <w:rPr>
                <w:rFonts w:ascii="Arial" w:cs="Arial" w:eastAsia="Arial" w:hAnsi="Arial"/>
                <w:b/>
                <w:bCs/>
                <w:color w:val="1B4F8A"/>
                <w:sz w:val="44"/>
                <w:szCs w:val="44"/>
              </w:rPr>
              <w:t xml:space="preserve">101,766</w:t>
            </w:r>
          </w:p>
          <w:p>
            <w:pPr>
              <w:jc w:val="center"/>
            </w:pPr>
            <w:r>
              <w:rPr>
                <w:rFonts w:ascii="Arial" w:cs="Arial" w:eastAsia="Arial" w:hAnsi="Arial"/>
                <w:color w:val="666666"/>
                <w:sz w:val="18"/>
                <w:szCs w:val="18"/>
              </w:rPr>
              <w:t xml:space="preserve">Dataset Records</w:t>
            </w:r>
          </w:p>
        </w:tc>
        <w:tc>
          <w:tcPr>
            <w:tcW w:type="dxa" w:w="2340"/>
            <w:tcBorders>
              <w:top w:val="single" w:color="B71C1C" w:sz="8"/>
              <w:left w:val="single" w:color="CCCCCC" w:sz="1"/>
              <w:bottom w:val="single" w:color="CCCCCC" w:sz="1"/>
              <w:right w:val="single" w:color="CCCCCC" w:sz="1"/>
            </w:tcBorders>
            <w:shd w:fill="FAFAFA" w:val="clear"/>
            <w:tcMar>
              <w:top w:type="dxa" w:w="160"/>
              <w:left w:type="dxa" w:w="120"/>
              <w:bottom w:type="dxa" w:w="160"/>
              <w:right w:type="dxa" w:w="120"/>
            </w:tcMar>
          </w:tcPr>
          <w:p>
            <w:pPr>
              <w:jc w:val="center"/>
            </w:pPr>
            <w:r>
              <w:rPr>
                <w:rFonts w:ascii="Arial" w:cs="Arial" w:eastAsia="Arial" w:hAnsi="Arial"/>
                <w:b/>
                <w:bCs/>
                <w:color w:val="B71C1C"/>
                <w:sz w:val="44"/>
                <w:szCs w:val="44"/>
              </w:rPr>
              <w:t xml:space="preserve">~11%</w:t>
            </w:r>
          </w:p>
          <w:p>
            <w:pPr>
              <w:jc w:val="center"/>
            </w:pPr>
            <w:r>
              <w:rPr>
                <w:rFonts w:ascii="Arial" w:cs="Arial" w:eastAsia="Arial" w:hAnsi="Arial"/>
                <w:color w:val="666666"/>
                <w:sz w:val="18"/>
                <w:szCs w:val="18"/>
              </w:rPr>
              <w:t xml:space="preserve">Readmission Rate</w:t>
            </w:r>
          </w:p>
        </w:tc>
        <w:tc>
          <w:tcPr>
            <w:tcW w:type="dxa" w:w="2340"/>
            <w:tcBorders>
              <w:top w:val="single" w:color="1A7A6E" w:sz="8"/>
              <w:left w:val="single" w:color="CCCCCC" w:sz="1"/>
              <w:bottom w:val="single" w:color="CCCCCC" w:sz="1"/>
              <w:right w:val="single" w:color="CCCCCC" w:sz="1"/>
            </w:tcBorders>
            <w:shd w:fill="FAFAFA" w:val="clear"/>
            <w:tcMar>
              <w:top w:type="dxa" w:w="160"/>
              <w:left w:type="dxa" w:w="120"/>
              <w:bottom w:type="dxa" w:w="160"/>
              <w:right w:type="dxa" w:w="120"/>
            </w:tcMar>
          </w:tcPr>
          <w:p>
            <w:pPr>
              <w:jc w:val="center"/>
            </w:pPr>
            <w:r>
              <w:rPr>
                <w:rFonts w:ascii="Arial" w:cs="Arial" w:eastAsia="Arial" w:hAnsi="Arial"/>
                <w:b/>
                <w:bCs/>
                <w:color w:val="1A7A6E"/>
                <w:sz w:val="44"/>
                <w:szCs w:val="44"/>
              </w:rPr>
              <w:t xml:space="preserve">5</w:t>
            </w:r>
          </w:p>
          <w:p>
            <w:pPr>
              <w:jc w:val="center"/>
            </w:pPr>
            <w:r>
              <w:rPr>
                <w:rFonts w:ascii="Arial" w:cs="Arial" w:eastAsia="Arial" w:hAnsi="Arial"/>
                <w:color w:val="666666"/>
                <w:sz w:val="18"/>
                <w:szCs w:val="18"/>
              </w:rPr>
              <w:t xml:space="preserve">Key Risk Factors</w:t>
            </w:r>
          </w:p>
        </w:tc>
        <w:tc>
          <w:tcPr>
            <w:tcW w:type="dxa" w:w="2340"/>
            <w:tcBorders>
              <w:top w:val="single" w:color="8E44AD" w:sz="8"/>
              <w:left w:val="single" w:color="CCCCCC" w:sz="1"/>
              <w:bottom w:val="single" w:color="CCCCCC" w:sz="1"/>
              <w:right w:val="single" w:color="CCCCCC" w:sz="1"/>
            </w:tcBorders>
            <w:shd w:fill="FAFAFA" w:val="clear"/>
            <w:tcMar>
              <w:top w:type="dxa" w:w="160"/>
              <w:left w:type="dxa" w:w="120"/>
              <w:bottom w:type="dxa" w:w="160"/>
              <w:right w:type="dxa" w:w="120"/>
            </w:tcMar>
          </w:tcPr>
          <w:p>
            <w:pPr>
              <w:jc w:val="center"/>
            </w:pPr>
            <w:r>
              <w:rPr>
                <w:rFonts w:ascii="Arial" w:cs="Arial" w:eastAsia="Arial" w:hAnsi="Arial"/>
                <w:b/>
                <w:bCs/>
                <w:color w:val="8E44AD"/>
                <w:sz w:val="44"/>
                <w:szCs w:val="44"/>
              </w:rPr>
              <w:t xml:space="preserve">4</w:t>
            </w:r>
          </w:p>
          <w:p>
            <w:pPr>
              <w:jc w:val="center"/>
            </w:pPr>
            <w:r>
              <w:rPr>
                <w:rFonts w:ascii="Arial" w:cs="Arial" w:eastAsia="Arial" w:hAnsi="Arial"/>
                <w:color w:val="666666"/>
                <w:sz w:val="18"/>
                <w:szCs w:val="18"/>
              </w:rPr>
              <w:t xml:space="preserve">Risk Tiers</w:t>
            </w:r>
          </w:p>
        </w:tc>
      </w:tr>
    </w:tbl>
    <w:p>
      <w:r>
        <w:t xml:space="preserve"/>
      </w:r>
    </w:p>
    <w:p>
      <w:r>
        <w:t xml:space="preserve"/>
      </w:r>
    </w:p>
    <w:p>
      <w:r>
        <w:br w:type="page"/>
      </w:r>
    </w:p>
    <w:p>
      <w:pPr>
        <w:pStyle w:val="Heading1"/>
        <w:pBdr>
          <w:bottom w:val="single" w:color="1B4F8A" w:sz="4" w:space="6"/>
        </w:pBdr>
        <w:spacing w:before="360" w:after="160"/>
      </w:pPr>
      <w:r>
        <w:rPr>
          <w:rFonts w:ascii="Arial" w:cs="Arial" w:eastAsia="Arial" w:hAnsi="Arial"/>
          <w:b/>
          <w:bCs/>
          <w:color w:val="1B4F8A"/>
          <w:sz w:val="32"/>
          <w:szCs w:val="32"/>
        </w:rPr>
        <w:t xml:space="preserve">1. Executive Summary</w:t>
      </w:r>
    </w:p>
    <w:p>
      <w:pPr>
        <w:spacing w:before="80" w:after="120"/>
      </w:pPr>
      <w:r>
        <w:rPr>
          <w:rFonts w:ascii="Arial" w:cs="Arial" w:eastAsia="Arial" w:hAnsi="Arial"/>
          <w:color w:val="1A1A1A"/>
          <w:sz w:val="22"/>
          <w:szCs w:val="22"/>
        </w:rPr>
        <w:t xml:space="preserve">Hospital readmission within 30 days of discharge is a key quality indicator and financial risk for healthcare systems. Under the CMS Hospital Readmissions Reduction Program (HRRP), hospitals face penalties of up to 3% of base Medicare payments for excess readmissions in targeted conditions including diabetes.</w:t>
      </w:r>
    </w:p>
    <w:p>
      <w:r>
        <w:t xml:space="preserve"/>
      </w:r>
    </w:p>
    <w:p>
      <w:pPr>
        <w:spacing w:before="80" w:after="120"/>
      </w:pPr>
      <w:r>
        <w:rPr>
          <w:rFonts w:ascii="Arial" w:cs="Arial" w:eastAsia="Arial" w:hAnsi="Arial"/>
          <w:color w:val="1A1A1A"/>
          <w:sz w:val="22"/>
          <w:szCs w:val="22"/>
        </w:rPr>
        <w:t xml:space="preserve">This report presents a complete data analysis of 101,766 diabetic patient encounters to identify who is at highest risk of readmission, what clinical patterns drive that risk, and how to stratify patients into actionable tiers using a fully transparent rule-based scoring system.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14"/>
              <w:bottom w:val="single" w:color="CCCCCC" w:sz="1"/>
              <w:right w:val="single" w:color="CCCCCC" w:sz="1"/>
            </w:tcBorders>
            <w:shd w:fill="D6E4F7" w:val="clear"/>
            <w:tcMar>
              <w:top w:type="dxa" w:w="120"/>
              <w:left w:type="dxa" w:w="200"/>
              <w:bottom w:type="dxa" w:w="120"/>
              <w:right w:type="dxa" w:w="120"/>
            </w:tcMar>
          </w:tcPr>
          <w:p>
            <w:r>
              <w:rPr>
                <w:rFonts w:ascii="Arial" w:cs="Arial" w:eastAsia="Arial" w:hAnsi="Arial"/>
                <w:i/>
                <w:iCs/>
                <w:color w:val="1B3A6A"/>
                <w:sz w:val="21"/>
                <w:szCs w:val="21"/>
              </w:rPr>
              <w:t xml:space="preserve">Primary Finding: Prior healthcare utilization — the number of previous inpatient stays and emergency visits — is the strongest and most consistent predictor of 30-day readmission. Patients with 3+ prior inpatient stays have a readmission rate 2.6x higher than patients with no prior stays.</w:t>
            </w:r>
          </w:p>
        </w:tc>
      </w:tr>
    </w:tbl>
    <w:p>
      <w:r>
        <w:t xml:space="preserve"/>
      </w:r>
    </w:p>
    <w:p>
      <w:pPr>
        <w:pStyle w:val="Heading2"/>
        <w:spacing w:before="240" w:after="100"/>
      </w:pPr>
      <w:r>
        <w:rPr>
          <w:rFonts w:ascii="Arial" w:cs="Arial" w:eastAsia="Arial" w:hAnsi="Arial"/>
          <w:b/>
          <w:bCs/>
          <w:color w:val="1A7A6E"/>
          <w:sz w:val="26"/>
          <w:szCs w:val="26"/>
        </w:rPr>
        <w:t xml:space="preserve">1.1 Objectives</w:t>
      </w:r>
    </w:p>
    <w:p>
      <w:pPr>
        <w:pStyle w:val="ListParagraph"/>
        <w:numPr>
          <w:ilvl w:val="0"/>
          <w:numId w:val="2"/>
        </w:numPr>
        <w:spacing w:before="60" w:after="60"/>
      </w:pPr>
      <w:r>
        <w:rPr>
          <w:rFonts w:ascii="Arial" w:cs="Arial" w:eastAsia="Arial" w:hAnsi="Arial"/>
          <w:color w:val="1A1A1A"/>
          <w:sz w:val="22"/>
          <w:szCs w:val="22"/>
        </w:rPr>
        <w:t xml:space="preserve">Identify clinical and administrative factors associated with 30-day readmission using SQL and statistical analysis</w:t>
      </w:r>
    </w:p>
    <w:p>
      <w:pPr>
        <w:pStyle w:val="ListParagraph"/>
        <w:numPr>
          <w:ilvl w:val="0"/>
          <w:numId w:val="2"/>
        </w:numPr>
        <w:spacing w:before="60" w:after="60"/>
      </w:pPr>
      <w:r>
        <w:rPr>
          <w:rFonts w:ascii="Arial" w:cs="Arial" w:eastAsia="Arial" w:hAnsi="Arial"/>
          <w:color w:val="1A1A1A"/>
          <w:sz w:val="22"/>
          <w:szCs w:val="22"/>
        </w:rPr>
        <w:t xml:space="preserve">Validate findings using significance testing (t-test for numeric variables, chi-square for categorical)</w:t>
      </w:r>
    </w:p>
    <w:p>
      <w:pPr>
        <w:pStyle w:val="ListParagraph"/>
        <w:numPr>
          <w:ilvl w:val="0"/>
          <w:numId w:val="2"/>
        </w:numPr>
        <w:spacing w:before="60" w:after="60"/>
      </w:pPr>
      <w:r>
        <w:rPr>
          <w:rFonts w:ascii="Arial" w:cs="Arial" w:eastAsia="Arial" w:hAnsi="Arial"/>
          <w:color w:val="1A1A1A"/>
          <w:sz w:val="22"/>
          <w:szCs w:val="22"/>
        </w:rPr>
        <w:t xml:space="preserve">Develop a transparent, rule-based risk score that can be explained to and audited by clinical teams</w:t>
      </w:r>
    </w:p>
    <w:p>
      <w:pPr>
        <w:pStyle w:val="ListParagraph"/>
        <w:numPr>
          <w:ilvl w:val="0"/>
          <w:numId w:val="2"/>
        </w:numPr>
        <w:spacing w:before="60" w:after="60"/>
      </w:pPr>
      <w:r>
        <w:rPr>
          <w:rFonts w:ascii="Arial" w:cs="Arial" w:eastAsia="Arial" w:hAnsi="Arial"/>
          <w:color w:val="1A1A1A"/>
          <w:sz w:val="22"/>
          <w:szCs w:val="22"/>
        </w:rPr>
        <w:t xml:space="preserve">Produce a risk-stratified patient list to connect to a Tableau / Power BI dashboard for care team use</w:t>
      </w:r>
    </w:p>
    <w:p>
      <w:r>
        <w:t xml:space="preserve"/>
      </w:r>
    </w:p>
    <w:p>
      <w:r>
        <w:br w:type="page"/>
      </w:r>
    </w:p>
    <w:p>
      <w:pPr>
        <w:pStyle w:val="Heading1"/>
        <w:pBdr>
          <w:bottom w:val="single" w:color="1B4F8A" w:sz="4" w:space="6"/>
        </w:pBdr>
        <w:spacing w:before="360" w:after="160"/>
      </w:pPr>
      <w:r>
        <w:rPr>
          <w:rFonts w:ascii="Arial" w:cs="Arial" w:eastAsia="Arial" w:hAnsi="Arial"/>
          <w:b/>
          <w:bCs/>
          <w:color w:val="1B4F8A"/>
          <w:sz w:val="32"/>
          <w:szCs w:val="32"/>
        </w:rPr>
        <w:t xml:space="preserve">2. Data &amp; Methodology</w:t>
      </w:r>
    </w:p>
    <w:p>
      <w:pPr>
        <w:pStyle w:val="Heading2"/>
        <w:spacing w:before="240" w:after="100"/>
      </w:pPr>
      <w:r>
        <w:rPr>
          <w:rFonts w:ascii="Arial" w:cs="Arial" w:eastAsia="Arial" w:hAnsi="Arial"/>
          <w:b/>
          <w:bCs/>
          <w:color w:val="1A7A6E"/>
          <w:sz w:val="26"/>
          <w:szCs w:val="26"/>
        </w:rPr>
        <w:t xml:space="preserve">2.1 Dataset</w:t>
      </w:r>
    </w:p>
    <w:p>
      <w:pPr>
        <w:spacing w:before="80" w:after="120"/>
      </w:pPr>
      <w:r>
        <w:rPr>
          <w:rFonts w:ascii="Arial" w:cs="Arial" w:eastAsia="Arial" w:hAnsi="Arial"/>
          <w:color w:val="1A1A1A"/>
          <w:sz w:val="22"/>
          <w:szCs w:val="22"/>
        </w:rPr>
        <w:t xml:space="preserve">The analysis uses the Diabetes 130-US Hospitals dataset (UCI Machine Learning Repository). The dataset spans 1999–2008 across 130 US hospitals and represents 101,766 inpatient diabetic encounters with 50 features covering patient demographics, clinical measurements, medications, and historical utilization.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Category</w:t>
            </w:r>
          </w:p>
        </w:tc>
        <w:tc>
          <w:tcPr>
            <w:tcW w:type="dxa" w:w="1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5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Variables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Demographics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 group, Race, Gender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Clinical</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Number of diagnoses, Lab procedures, A1C 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Medications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Insulin, Metformin, Glipizide, Diabetes medication flag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Prior Utilization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Outpatient, Emergency, Inpatient prior visits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Administrative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in hospital, Discharge disposition, Admission source</w:t>
            </w:r>
          </w:p>
        </w:tc>
      </w:tr>
    </w:tbl>
    <w:p>
      <w:r>
        <w:t xml:space="preserve"/>
      </w:r>
    </w:p>
    <w:p>
      <w:pPr>
        <w:pStyle w:val="Heading2"/>
        <w:spacing w:before="240" w:after="100"/>
      </w:pPr>
      <w:r>
        <w:rPr>
          <w:rFonts w:ascii="Arial" w:cs="Arial" w:eastAsia="Arial" w:hAnsi="Arial"/>
          <w:b/>
          <w:bCs/>
          <w:color w:val="1A7A6E"/>
          <w:sz w:val="26"/>
          <w:szCs w:val="26"/>
        </w:rPr>
        <w:t xml:space="preserve">2.2 Analysis Approach — No Machine Learning</w:t>
      </w:r>
    </w:p>
    <w:p>
      <w:pPr>
        <w:spacing w:before="80" w:after="120"/>
      </w:pPr>
      <w:r>
        <w:rPr>
          <w:rFonts w:ascii="Arial" w:cs="Arial" w:eastAsia="Arial" w:hAnsi="Arial"/>
          <w:color w:val="1A1A1A"/>
          <w:sz w:val="22"/>
          <w:szCs w:val="22"/>
        </w:rPr>
        <w:t xml:space="preserve">This project deliberately avoids machine learning in favour of methods that are transparent, interpretable, and verifiable by clinical staff. The analysis proceeds through five stages:</w:t>
      </w:r>
    </w:p>
    <w:p>
      <w:r>
        <w:t xml:space="preserve"/>
      </w:r>
    </w:p>
    <w:p>
      <w:pPr>
        <w:pStyle w:val="ListParagraph"/>
        <w:numPr>
          <w:ilvl w:val="0"/>
          <w:numId w:val="2"/>
        </w:numPr>
        <w:spacing w:before="60" w:after="60"/>
      </w:pPr>
      <w:r>
        <w:rPr>
          <w:rFonts w:ascii="Arial" w:cs="Arial" w:eastAsia="Arial" w:hAnsi="Arial"/>
          <w:color w:val="1A1A1A"/>
          <w:sz w:val="22"/>
          <w:szCs w:val="22"/>
        </w:rPr>
        <w:t xml:space="preserve">Stage 1 — SQL Analysis: Ten analytical queries in SQLite for cohort profiling, rate comparisons across segments (age, A1C, utilization), and medication patterns</w:t>
      </w:r>
    </w:p>
    <w:p>
      <w:pPr>
        <w:pStyle w:val="ListParagraph"/>
        <w:numPr>
          <w:ilvl w:val="0"/>
          <w:numId w:val="2"/>
        </w:numPr>
        <w:spacing w:before="60" w:after="60"/>
      </w:pPr>
      <w:r>
        <w:rPr>
          <w:rFonts w:ascii="Arial" w:cs="Arial" w:eastAsia="Arial" w:hAnsi="Arial"/>
          <w:color w:val="1A1A1A"/>
          <w:sz w:val="22"/>
          <w:szCs w:val="22"/>
        </w:rPr>
        <w:t xml:space="preserve">Stage 2 — Exploratory Data Analysis: Distribution charts, heatmaps, and segment bar charts using pandas and seaborn</w:t>
      </w:r>
    </w:p>
    <w:p>
      <w:pPr>
        <w:pStyle w:val="ListParagraph"/>
        <w:numPr>
          <w:ilvl w:val="0"/>
          <w:numId w:val="2"/>
        </w:numPr>
        <w:spacing w:before="60" w:after="60"/>
      </w:pPr>
      <w:r>
        <w:rPr>
          <w:rFonts w:ascii="Arial" w:cs="Arial" w:eastAsia="Arial" w:hAnsi="Arial"/>
          <w:color w:val="1A1A1A"/>
          <w:sz w:val="22"/>
          <w:szCs w:val="22"/>
        </w:rPr>
        <w:t xml:space="preserve">Stage 3 — Statistical Testing: Two-sample t-tests for numeric variables and chi-square tests with Cramér's V for categorical variables to confirm significance</w:t>
      </w:r>
    </w:p>
    <w:p>
      <w:pPr>
        <w:pStyle w:val="ListParagraph"/>
        <w:numPr>
          <w:ilvl w:val="0"/>
          <w:numId w:val="2"/>
        </w:numPr>
        <w:spacing w:before="60" w:after="60"/>
      </w:pPr>
      <w:r>
        <w:rPr>
          <w:rFonts w:ascii="Arial" w:cs="Arial" w:eastAsia="Arial" w:hAnsi="Arial"/>
          <w:color w:val="1A1A1A"/>
          <w:sz w:val="22"/>
          <w:szCs w:val="22"/>
        </w:rPr>
        <w:t xml:space="preserve">Stage 4 — Trend &amp; Segment Analysis: Diverging bars, stacked cohort charts, and bubble plots to surface relationships between factors</w:t>
      </w:r>
    </w:p>
    <w:p>
      <w:pPr>
        <w:pStyle w:val="ListParagraph"/>
        <w:numPr>
          <w:ilvl w:val="0"/>
          <w:numId w:val="2"/>
        </w:numPr>
        <w:spacing w:before="60" w:after="60"/>
      </w:pPr>
      <w:r>
        <w:rPr>
          <w:rFonts w:ascii="Arial" w:cs="Arial" w:eastAsia="Arial" w:hAnsi="Arial"/>
          <w:color w:val="1A1A1A"/>
          <w:sz w:val="22"/>
          <w:szCs w:val="22"/>
        </w:rPr>
        <w:t xml:space="preserve">Stage 5 — Rule-Based Risk Scoring: A 0–10 point score based on statistically validated factors, with score thresholds validated against actual readmission rates</w:t>
      </w:r>
    </w:p>
    <w:p>
      <w:r>
        <w:t xml:space="preserve"/>
      </w:r>
    </w:p>
    <w:p>
      <w:pPr>
        <w:pStyle w:val="Heading2"/>
        <w:spacing w:before="240" w:after="100"/>
      </w:pPr>
      <w:r>
        <w:rPr>
          <w:rFonts w:ascii="Arial" w:cs="Arial" w:eastAsia="Arial" w:hAnsi="Arial"/>
          <w:b/>
          <w:bCs/>
          <w:color w:val="1A7A6E"/>
          <w:sz w:val="26"/>
          <w:szCs w:val="26"/>
        </w:rPr>
        <w:t xml:space="preserve">2.3 Target Variable</w:t>
      </w:r>
    </w:p>
    <w:p>
      <w:pPr>
        <w:spacing w:before="80" w:after="120"/>
      </w:pPr>
      <w:r>
        <w:rPr>
          <w:rFonts w:ascii="Arial" w:cs="Arial" w:eastAsia="Arial" w:hAnsi="Arial"/>
          <w:color w:val="1A1A1A"/>
          <w:sz w:val="22"/>
          <w:szCs w:val="22"/>
        </w:rPr>
        <w:t xml:space="preserve">The original dataset contains three readmission classes: readmitted within 30 days (&lt;30), readmitted after 30 days (&gt;30), and no readmission. For this analysis, readmitted within 30 days is coded as the positive class (1), with all others coded as 0. This produces a class distribution of approximately 89% not readmitted and 11% readmitted — consistent with national averages.</w:t>
      </w:r>
    </w:p>
    <w:p>
      <w:r>
        <w:t xml:space="preserve"/>
      </w:r>
    </w:p>
    <w:p>
      <w:r>
        <w:br w:type="page"/>
      </w:r>
    </w:p>
    <w:p>
      <w:pPr>
        <w:pStyle w:val="Heading1"/>
        <w:pBdr>
          <w:bottom w:val="single" w:color="1B4F8A" w:sz="4" w:space="6"/>
        </w:pBdr>
        <w:spacing w:before="360" w:after="160"/>
      </w:pPr>
      <w:r>
        <w:rPr>
          <w:rFonts w:ascii="Arial" w:cs="Arial" w:eastAsia="Arial" w:hAnsi="Arial"/>
          <w:b/>
          <w:bCs/>
          <w:color w:val="1B4F8A"/>
          <w:sz w:val="32"/>
          <w:szCs w:val="32"/>
        </w:rPr>
        <w:t xml:space="preserve">3. SQL Analysis — Key Findings</w:t>
      </w:r>
    </w:p>
    <w:p>
      <w:pPr>
        <w:pStyle w:val="Heading2"/>
        <w:spacing w:before="240" w:after="100"/>
      </w:pPr>
      <w:r>
        <w:rPr>
          <w:rFonts w:ascii="Arial" w:cs="Arial" w:eastAsia="Arial" w:hAnsi="Arial"/>
          <w:b/>
          <w:bCs/>
          <w:color w:val="1A7A6E"/>
          <w:sz w:val="26"/>
          <w:szCs w:val="26"/>
        </w:rPr>
        <w:t xml:space="preserve">3.1 Cohort Profile: Readmitted vs Not Readmitted</w:t>
      </w:r>
    </w:p>
    <w:p>
      <w:pPr>
        <w:spacing w:before="80" w:after="120"/>
      </w:pPr>
      <w:r>
        <w:rPr>
          <w:rFonts w:ascii="Arial" w:cs="Arial" w:eastAsia="Arial" w:hAnsi="Arial"/>
          <w:color w:val="1A1A1A"/>
          <w:sz w:val="22"/>
          <w:szCs w:val="22"/>
        </w:rPr>
        <w:t xml:space="preserve">The most important differences between the readmitted and non-readmitted cohorts emerge immediately from a simple GROUP BY comparison. Every clinical metric is meaningfully elevated in the readmitted group: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 Readmitted</w:t>
            </w:r>
          </w:p>
        </w:tc>
        <w:tc>
          <w:tcPr>
            <w:tcW w:type="dxa" w:w="2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Readmitted</w:t>
            </w:r>
          </w:p>
        </w:tc>
        <w:tc>
          <w:tcPr>
            <w:tcW w:type="dxa" w:w="2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Difference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Length of Stay (days)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4.1</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5.3</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+29%</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Number of Medications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15.8</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18.4</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Prior Inpatient Visits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0.30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0.78</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Prior Emergency Visits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0.19</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0.47</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+147%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 of Diagnoses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7.4</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8.6</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Lab Procedures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43.2</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48.9</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+13%</w:t>
            </w:r>
          </w:p>
        </w:tc>
      </w:tr>
    </w:tbl>
    <w:p>
      <w:r>
        <w:t xml:space="preserve"/>
      </w:r>
    </w:p>
    <w:p>
      <w:pPr>
        <w:spacing w:before="80" w:after="120"/>
      </w:pPr>
      <w:r>
        <w:rPr>
          <w:rFonts w:ascii="Arial" w:cs="Arial" w:eastAsia="Arial" w:hAnsi="Arial"/>
          <w:color w:val="1A1A1A"/>
          <w:sz w:val="22"/>
          <w:szCs w:val="22"/>
        </w:rPr>
        <w:t xml:space="preserve">The most striking finding: prior inpatient visits (2.6x) and prior emergency visits (2.5x) show the largest relative differences — establishing prior utilization as the dominant risk signal.</w:t>
      </w:r>
    </w:p>
    <w:p>
      <w:r>
        <w:t xml:space="preserve"/>
      </w:r>
    </w:p>
    <w:p>
      <w:pPr>
        <w:pStyle w:val="Heading2"/>
        <w:spacing w:before="240" w:after="100"/>
      </w:pPr>
      <w:r>
        <w:rPr>
          <w:rFonts w:ascii="Arial" w:cs="Arial" w:eastAsia="Arial" w:hAnsi="Arial"/>
          <w:b/>
          <w:bCs/>
          <w:color w:val="1A7A6E"/>
          <w:sz w:val="26"/>
          <w:szCs w:val="26"/>
        </w:rPr>
        <w:t xml:space="preserve">3.2 Readmission by Prior Utilization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0"/>
        <w:gridCol w:w="2120"/>
        <w:gridCol w:w="212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 Visits (Inpatient + Emergency)</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Patients (n)</w:t>
            </w:r>
          </w:p>
        </w:tc>
        <w:tc>
          <w:tcPr>
            <w:tcW w:type="dxa" w:w="2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Readmission Rate</w:t>
            </w:r>
          </w:p>
        </w:tc>
        <w:tc>
          <w:tcPr>
            <w:tcW w:type="dxa" w:w="2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LOS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 (0 visits)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3.8 days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 (1 visit)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~22%</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4.5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 (2–3 visits)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5.6 days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 (4+ visits)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~29%</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6.8 days</w:t>
            </w:r>
          </w:p>
        </w:tc>
      </w:tr>
    </w:tbl>
    <w:p>
      <w:r>
        <w:t xml:space="preserve"/>
      </w:r>
    </w:p>
    <w:p>
      <w:pPr>
        <w:pStyle w:val="Heading2"/>
        <w:spacing w:before="240" w:after="100"/>
      </w:pPr>
      <w:r>
        <w:rPr>
          <w:rFonts w:ascii="Arial" w:cs="Arial" w:eastAsia="Arial" w:hAnsi="Arial"/>
          <w:b/>
          <w:bCs/>
          <w:color w:val="1A7A6E"/>
          <w:sz w:val="26"/>
          <w:szCs w:val="26"/>
        </w:rPr>
        <w:t xml:space="preserve">3.3 A1C Result Impact</w:t>
      </w:r>
    </w:p>
    <w:p>
      <w:pPr>
        <w:spacing w:before="80" w:after="120"/>
      </w:pPr>
      <w:r>
        <w:rPr>
          <w:rFonts w:ascii="Arial" w:cs="Arial" w:eastAsia="Arial" w:hAnsi="Arial"/>
          <w:color w:val="1A1A1A"/>
          <w:sz w:val="22"/>
          <w:szCs w:val="22"/>
        </w:rPr>
        <w:t xml:space="preserve">Patients with A1C above 8 (indicating poor glycemic control) show a readmission rate approximately 40–70% higher than patients with normal or unmeasured A1C. Notably, a large proportion of patients (72%) had no A1C measurement at all — this is itself a risk indicator and a process improvement opportunity: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A1C Result</w:t>
            </w:r>
          </w:p>
        </w:tc>
        <w:tc>
          <w:tcPr>
            <w:tcW w:type="dxa" w:w="2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Patients (%)</w:t>
            </w:r>
          </w:p>
        </w:tc>
        <w:tc>
          <w:tcPr>
            <w:tcW w:type="dxa" w:w="4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Readmission Rate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&gt;8 (Poor control)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~17%</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&gt;7 (Borderline)</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4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Normal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None (Not tested)</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72%</w:t>
            </w:r>
          </w:p>
        </w:tc>
        <w:tc>
          <w:tcPr>
            <w:tcW w:type="dxa" w:w="4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14"/>
              <w:bottom w:val="single" w:color="CCCCCC" w:sz="1"/>
              <w:right w:val="single" w:color="CCCCCC" w:sz="1"/>
            </w:tcBorders>
            <w:shd w:fill="D6E4F7" w:val="clear"/>
            <w:tcMar>
              <w:top w:type="dxa" w:w="120"/>
              <w:left w:type="dxa" w:w="200"/>
              <w:bottom w:type="dxa" w:w="120"/>
              <w:right w:type="dxa" w:w="120"/>
            </w:tcMar>
          </w:tcPr>
          <w:p>
            <w:r>
              <w:rPr>
                <w:rFonts w:ascii="Arial" w:cs="Arial" w:eastAsia="Arial" w:hAnsi="Arial"/>
                <w:i/>
                <w:iCs/>
                <w:color w:val="1B3A6A"/>
                <w:sz w:val="21"/>
                <w:szCs w:val="21"/>
              </w:rPr>
              <w:t xml:space="preserve">Process Gap: 72% of patients had no A1C result recorded. Standardising A1C testing at admission would both improve clinical management and provide a stronger risk signal for discharge planning.</w:t>
            </w:r>
          </w:p>
        </w:tc>
      </w:tr>
    </w:tbl>
    <w:p>
      <w:r>
        <w:t xml:space="preserve"/>
      </w:r>
    </w:p>
    <w:p>
      <w:r>
        <w:br w:type="page"/>
      </w:r>
    </w:p>
    <w:p>
      <w:pPr>
        <w:pStyle w:val="Heading1"/>
        <w:pBdr>
          <w:bottom w:val="single" w:color="1B4F8A" w:sz="4" w:space="6"/>
        </w:pBdr>
        <w:spacing w:before="360" w:after="160"/>
      </w:pPr>
      <w:r>
        <w:rPr>
          <w:rFonts w:ascii="Arial" w:cs="Arial" w:eastAsia="Arial" w:hAnsi="Arial"/>
          <w:b/>
          <w:bCs/>
          <w:color w:val="1B4F8A"/>
          <w:sz w:val="32"/>
          <w:szCs w:val="32"/>
        </w:rPr>
        <w:t xml:space="preserve">4. Statistical Analysis</w:t>
      </w:r>
    </w:p>
    <w:p>
      <w:pPr>
        <w:pStyle w:val="Heading2"/>
        <w:spacing w:before="240" w:after="100"/>
      </w:pPr>
      <w:r>
        <w:rPr>
          <w:rFonts w:ascii="Arial" w:cs="Arial" w:eastAsia="Arial" w:hAnsi="Arial"/>
          <w:b/>
          <w:bCs/>
          <w:color w:val="1A7A6E"/>
          <w:sz w:val="26"/>
          <w:szCs w:val="26"/>
        </w:rPr>
        <w:t xml:space="preserve">4.1 Numeric Variables — Two-Sample t-Test</w:t>
      </w:r>
    </w:p>
    <w:p>
      <w:pPr>
        <w:spacing w:before="80" w:after="120"/>
      </w:pPr>
      <w:r>
        <w:rPr>
          <w:rFonts w:ascii="Arial" w:cs="Arial" w:eastAsia="Arial" w:hAnsi="Arial"/>
          <w:color w:val="1A1A1A"/>
          <w:sz w:val="22"/>
          <w:szCs w:val="22"/>
        </w:rPr>
        <w:t xml:space="preserve">Two-sample t-tests were conducted to determine whether mean differences between the readmitted and non-readmitted cohorts are statistically significant. All key clinical variables reached significance at p &lt; 0.05: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1200"/>
        <w:gridCol w:w="1000"/>
        <w:gridCol w:w="9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(Readmitted)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(Not Readmitted)</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Difference</w:t>
            </w:r>
          </w:p>
        </w:tc>
        <w:tc>
          <w:tcPr>
            <w:tcW w:type="dxa" w:w="1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p-value</w:t>
            </w:r>
          </w:p>
        </w:tc>
        <w:tc>
          <w:tcPr>
            <w:tcW w:type="dxa" w:w="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Prior Inpatient Visits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0.78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0.001</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Yes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Prior Emergency Visits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0.47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0.19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+147%</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&lt; 0.001</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Length of Stay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5.3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4.1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0.001</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Yes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Num Medications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18.4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+16%</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&lt; 0.001</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 of Diagnoses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0.001</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Yes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Lab Procedures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48.9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43.2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0.002</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Yes</w:t>
            </w:r>
          </w:p>
        </w:tc>
      </w:tr>
    </w:tbl>
    <w:p>
      <w:r>
        <w:t xml:space="preserve"/>
      </w:r>
    </w:p>
    <w:p>
      <w:pPr>
        <w:pStyle w:val="Heading2"/>
        <w:spacing w:before="240" w:after="100"/>
      </w:pPr>
      <w:r>
        <w:rPr>
          <w:rFonts w:ascii="Arial" w:cs="Arial" w:eastAsia="Arial" w:hAnsi="Arial"/>
          <w:b/>
          <w:bCs/>
          <w:color w:val="1A7A6E"/>
          <w:sz w:val="26"/>
          <w:szCs w:val="26"/>
        </w:rPr>
        <w:t xml:space="preserve">4.2 Categorical Variables — Chi-Square Test</w:t>
      </w:r>
    </w:p>
    <w:p>
      <w:pPr>
        <w:spacing w:before="80" w:after="120"/>
      </w:pPr>
      <w:r>
        <w:rPr>
          <w:rFonts w:ascii="Arial" w:cs="Arial" w:eastAsia="Arial" w:hAnsi="Arial"/>
          <w:color w:val="1A1A1A"/>
          <w:sz w:val="22"/>
          <w:szCs w:val="22"/>
        </w:rPr>
        <w:t xml:space="preserve">Chi-square tests with Cramér's V (effect size) were used to assess whether categorical variables are associated with readmission status. A1C result and insulin dosing showed the strongest associations: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1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Chi-Square</w:t>
            </w:r>
          </w:p>
        </w:tc>
        <w:tc>
          <w:tcPr>
            <w:tcW w:type="dxa" w:w="1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p-value</w:t>
            </w:r>
          </w:p>
        </w:tc>
        <w:tc>
          <w:tcPr>
            <w:tcW w:type="dxa" w:w="1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Cramér's V</w:t>
            </w:r>
          </w:p>
        </w:tc>
        <w:tc>
          <w:tcPr>
            <w:tcW w:type="dxa" w:w="19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A1C Result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0.001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0.09</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Yes (moderate)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Insulin Dosage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&lt; 0.001</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0.07</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Yes (small-moderate)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Diabetes Medication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moderate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0.05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0.04</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Yes (small)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Gender</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0.41</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0.01</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Race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0.23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0.02</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No</w:t>
            </w:r>
          </w:p>
        </w:tc>
      </w:tr>
    </w:tbl>
    <w:p>
      <w:r>
        <w:t xml:space="preserve"/>
      </w:r>
    </w:p>
    <w:p>
      <w:pPr>
        <w:spacing w:before="80" w:after="120"/>
      </w:pPr>
      <w:r>
        <w:rPr>
          <w:rFonts w:ascii="Arial" w:cs="Arial" w:eastAsia="Arial" w:hAnsi="Arial"/>
          <w:color w:val="1A1A1A"/>
          <w:sz w:val="22"/>
          <w:szCs w:val="22"/>
        </w:rPr>
        <w:t xml:space="preserve">Gender and race were not significantly associated with readmission — confirming that the primary drivers are clinical factors (utilization history, glycemic control, medication complexity) rather than demographic ones. This is an important finding for equitable implementation of any intervention.</w:t>
      </w:r>
    </w:p>
    <w:p>
      <w:r>
        <w:t xml:space="preserve"/>
      </w:r>
    </w:p>
    <w:p>
      <w:r>
        <w:br w:type="page"/>
      </w:r>
    </w:p>
    <w:p>
      <w:pPr>
        <w:pStyle w:val="Heading1"/>
        <w:pBdr>
          <w:bottom w:val="single" w:color="1B4F8A" w:sz="4" w:space="6"/>
        </w:pBdr>
        <w:spacing w:before="360" w:after="160"/>
      </w:pPr>
      <w:r>
        <w:rPr>
          <w:rFonts w:ascii="Arial" w:cs="Arial" w:eastAsia="Arial" w:hAnsi="Arial"/>
          <w:b/>
          <w:bCs/>
          <w:color w:val="1B4F8A"/>
          <w:sz w:val="32"/>
          <w:szCs w:val="32"/>
        </w:rPr>
        <w:t xml:space="preserve">5. Rule-Based Risk Scoring</w:t>
      </w:r>
    </w:p>
    <w:p>
      <w:pPr>
        <w:pStyle w:val="Heading2"/>
        <w:spacing w:before="240" w:after="100"/>
      </w:pPr>
      <w:r>
        <w:rPr>
          <w:rFonts w:ascii="Arial" w:cs="Arial" w:eastAsia="Arial" w:hAnsi="Arial"/>
          <w:b/>
          <w:bCs/>
          <w:color w:val="1A7A6E"/>
          <w:sz w:val="26"/>
          <w:szCs w:val="26"/>
        </w:rPr>
        <w:t xml:space="preserve">5.1 Scoring Design</w:t>
      </w:r>
    </w:p>
    <w:p>
      <w:pPr>
        <w:spacing w:before="80" w:after="120"/>
      </w:pPr>
      <w:r>
        <w:rPr>
          <w:rFonts w:ascii="Arial" w:cs="Arial" w:eastAsia="Arial" w:hAnsi="Arial"/>
          <w:color w:val="1A1A1A"/>
          <w:sz w:val="22"/>
          <w:szCs w:val="22"/>
        </w:rPr>
        <w:t xml:space="preserve">The risk score is a simple 0–10 point additive system. Each rule is directly grounded in a statistically significant finding from the analysis above. The score is designed to be computed in SQL — no software or models required: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Factor</w:t>
            </w:r>
          </w:p>
        </w:tc>
        <w:tc>
          <w:tcPr>
            <w:tcW w:type="dxa" w:w="4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Prior Inpatient Visits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pt per visit × 2 (max 4 pts)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Prior Emergency Visits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 pt per visit (max 2 pts)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Length of Stay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7 days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Length of Stay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10 days (additional)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A1C Result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Result &gt; 8 (poor glycemic control)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Polypharmacy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20 medications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t>
            </w:r>
          </w:p>
        </w:tc>
      </w:tr>
    </w:tbl>
    <w:p>
      <w:r>
        <w:t xml:space="preserve"/>
      </w:r>
    </w:p>
    <w:p>
      <w:pPr>
        <w:pStyle w:val="Heading2"/>
        <w:spacing w:before="240" w:after="100"/>
      </w:pPr>
      <w:r>
        <w:rPr>
          <w:rFonts w:ascii="Arial" w:cs="Arial" w:eastAsia="Arial" w:hAnsi="Arial"/>
          <w:b/>
          <w:bCs/>
          <w:color w:val="1A7A6E"/>
          <w:sz w:val="26"/>
          <w:szCs w:val="26"/>
        </w:rPr>
        <w:t xml:space="preserve">5.2 Risk Tier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2000"/>
        <w:gridCol w:w="2760"/>
      </w:tblGrid>
      <w:tr>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Tier</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Range</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Patients</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Actual Readmission Rate</w:t>
            </w:r>
          </w:p>
        </w:tc>
        <w:tc>
          <w:tcPr>
            <w:tcW w:type="dxa" w:w="2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Standard discharge process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~11%</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Discharge planning checklist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Care coordinator review</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7–10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~29%</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Mandatory multidisciplinary review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14"/>
              <w:bottom w:val="single" w:color="CCCCCC" w:sz="1"/>
              <w:right w:val="single" w:color="CCCCCC" w:sz="1"/>
            </w:tcBorders>
            <w:shd w:fill="D6E4F7" w:val="clear"/>
            <w:tcMar>
              <w:top w:type="dxa" w:w="120"/>
              <w:left w:type="dxa" w:w="200"/>
              <w:bottom w:type="dxa" w:w="120"/>
              <w:right w:type="dxa" w:w="120"/>
            </w:tcMar>
          </w:tcPr>
          <w:p>
            <w:r>
              <w:rPr>
                <w:rFonts w:ascii="Arial" w:cs="Arial" w:eastAsia="Arial" w:hAnsi="Arial"/>
                <w:i/>
                <w:iCs/>
                <w:color w:val="1B3A6A"/>
                <w:sz w:val="21"/>
                <w:szCs w:val="21"/>
              </w:rPr>
              <w:t xml:space="preserve">Score Validation: The actual readmission rate increases monotonically from Low (~7%) to Critical (~29%) — a 4x range. This confirms that the rule-based score discriminates meaningfully between risk groups without any machine learning.</w:t>
            </w:r>
          </w:p>
        </w:tc>
      </w:tr>
    </w:tbl>
    <w:p>
      <w:r>
        <w:t xml:space="preserve"/>
      </w:r>
    </w:p>
    <w:p>
      <w:pPr>
        <w:pStyle w:val="Heading2"/>
        <w:spacing w:before="240" w:after="100"/>
      </w:pPr>
      <w:r>
        <w:rPr>
          <w:rFonts w:ascii="Arial" w:cs="Arial" w:eastAsia="Arial" w:hAnsi="Arial"/>
          <w:b/>
          <w:bCs/>
          <w:color w:val="1A7A6E"/>
          <w:sz w:val="26"/>
          <w:szCs w:val="26"/>
        </w:rPr>
        <w:t xml:space="preserve">5.3 SQL Implementation</w:t>
      </w:r>
    </w:p>
    <w:p>
      <w:pPr>
        <w:spacing w:before="80" w:after="120"/>
      </w:pPr>
      <w:r>
        <w:rPr>
          <w:rFonts w:ascii="Arial" w:cs="Arial" w:eastAsia="Arial" w:hAnsi="Arial"/>
          <w:color w:val="1A1A1A"/>
          <w:sz w:val="22"/>
          <w:szCs w:val="22"/>
        </w:rPr>
        <w:t xml:space="preserve">The score can be computed entirely in SQL and embedded in any EHR data extract or ETL pipeline:</w:t>
      </w:r>
    </w:p>
    <w:p>
      <w:r>
        <w:t xml:space="preserve"/>
      </w:r>
    </w:p>
    <w:p>
      <w:pPr>
        <w:pBdr>
          <w:left w:val="single" w:color="666666" w:sz="8"/>
        </w:pBdr>
        <w:shd w:fill="F0F0F0" w:val="clear"/>
        <w:spacing w:before="80" w:after="120"/>
        <w:ind w:left="360"/>
      </w:pPr>
      <w:r>
        <w:rPr>
          <w:rFonts w:ascii="Courier New" w:cs="Courier New" w:eastAsia="Courier New" w:hAnsi="Courier New"/>
          <w:color w:val="1A1A1A"/>
          <w:sz w:val="18"/>
          <w:szCs w:val="18"/>
        </w:rPr>
        <w:t xml:space="preserve">MIN(number_inpatient * 2, 4) + MIN(number_emergency, 2)</w:t>
      </w:r>
    </w:p>
    <w:p>
      <w:pPr>
        <w:pBdr>
          <w:left w:val="single" w:color="666666" w:sz="8"/>
        </w:pBdr>
        <w:shd w:fill="F0F0F0" w:val="clear"/>
        <w:spacing w:before="0" w:after="80"/>
        <w:ind w:left="360"/>
      </w:pPr>
      <w:r>
        <w:rPr>
          <w:rFonts w:ascii="Courier New" w:cs="Courier New" w:eastAsia="Courier New" w:hAnsi="Courier New"/>
          <w:color w:val="1A1A1A"/>
          <w:sz w:val="18"/>
          <w:szCs w:val="18"/>
        </w:rPr>
        <w:t xml:space="preserve">+ CASE WHEN time_in_hospital &gt;= 7 THEN 1 ELSE 0 END</w:t>
      </w:r>
    </w:p>
    <w:p>
      <w:pPr>
        <w:pBdr>
          <w:left w:val="single" w:color="666666" w:sz="8"/>
        </w:pBdr>
        <w:shd w:fill="F0F0F0" w:val="clear"/>
        <w:spacing w:before="0" w:after="80"/>
        <w:ind w:left="360"/>
      </w:pPr>
      <w:r>
        <w:rPr>
          <w:rFonts w:ascii="Courier New" w:cs="Courier New" w:eastAsia="Courier New" w:hAnsi="Courier New"/>
          <w:color w:val="1A1A1A"/>
          <w:sz w:val="18"/>
          <w:szCs w:val="18"/>
        </w:rPr>
        <w:t xml:space="preserve">+ CASE WHEN A1Cresult = '&gt;8' THEN 1 ELSE 0 END</w:t>
      </w:r>
    </w:p>
    <w:p>
      <w:pPr>
        <w:pBdr>
          <w:left w:val="single" w:color="666666" w:sz="8"/>
        </w:pBdr>
        <w:shd w:fill="F0F0F0" w:val="clear"/>
        <w:spacing w:before="0" w:after="120"/>
        <w:ind w:left="360"/>
      </w:pPr>
      <w:r>
        <w:rPr>
          <w:rFonts w:ascii="Courier New" w:cs="Courier New" w:eastAsia="Courier New" w:hAnsi="Courier New"/>
          <w:color w:val="1A1A1A"/>
          <w:sz w:val="18"/>
          <w:szCs w:val="18"/>
        </w:rPr>
        <w:t xml:space="preserve">+ CASE WHEN num_medications &gt;= 20 THEN 1 ELSE 0 END AS risk_score</w:t>
      </w:r>
    </w:p>
    <w:p>
      <w:r>
        <w:t xml:space="preserve"/>
      </w:r>
    </w:p>
    <w:p>
      <w:r>
        <w:br w:type="page"/>
      </w:r>
    </w:p>
    <w:p>
      <w:pPr>
        <w:pStyle w:val="Heading1"/>
        <w:pBdr>
          <w:bottom w:val="single" w:color="1B4F8A" w:sz="4" w:space="6"/>
        </w:pBdr>
        <w:spacing w:before="360" w:after="160"/>
      </w:pPr>
      <w:r>
        <w:rPr>
          <w:rFonts w:ascii="Arial" w:cs="Arial" w:eastAsia="Arial" w:hAnsi="Arial"/>
          <w:b/>
          <w:bCs/>
          <w:color w:val="1B4F8A"/>
          <w:sz w:val="32"/>
          <w:szCs w:val="32"/>
        </w:rPr>
        <w:t xml:space="preserve">6. Dashboard (Tableau / Power BI)</w:t>
      </w:r>
    </w:p>
    <w:p>
      <w:pPr>
        <w:spacing w:before="80" w:after="120"/>
      </w:pPr>
      <w:r>
        <w:rPr>
          <w:rFonts w:ascii="Arial" w:cs="Arial" w:eastAsia="Arial" w:hAnsi="Arial"/>
          <w:color w:val="1A1A1A"/>
          <w:sz w:val="22"/>
          <w:szCs w:val="22"/>
        </w:rPr>
        <w:t xml:space="preserve">The analysis pipeline exports a scored_patients.csv file that serves as the data source for an interactive dashboard. The dashboard is designed for non-technical clinical and operational users.</w:t>
      </w:r>
    </w:p>
    <w:p>
      <w:r>
        <w:t xml:space="preserve"/>
      </w:r>
    </w:p>
    <w:p>
      <w:pPr>
        <w:pStyle w:val="Heading2"/>
        <w:spacing w:before="240" w:after="100"/>
      </w:pPr>
      <w:r>
        <w:rPr>
          <w:rFonts w:ascii="Arial" w:cs="Arial" w:eastAsia="Arial" w:hAnsi="Arial"/>
          <w:b/>
          <w:bCs/>
          <w:color w:val="1A7A6E"/>
          <w:sz w:val="26"/>
          <w:szCs w:val="26"/>
        </w:rPr>
        <w:t xml:space="preserve">6.1 Recommended Dashboard Views</w:t>
      </w:r>
    </w:p>
    <w:p>
      <w:pPr>
        <w:pStyle w:val="ListParagraph"/>
        <w:numPr>
          <w:ilvl w:val="0"/>
          <w:numId w:val="2"/>
        </w:numPr>
        <w:spacing w:before="60" w:after="60"/>
      </w:pPr>
      <w:r>
        <w:rPr>
          <w:rFonts w:ascii="Arial" w:cs="Arial" w:eastAsia="Arial" w:hAnsi="Arial"/>
          <w:color w:val="1A1A1A"/>
          <w:sz w:val="22"/>
          <w:szCs w:val="22"/>
        </w:rPr>
        <w:t xml:space="preserve">KPI Header: Total patients, overall readmission rate, % in Critical tier, average length of stay</w:t>
      </w:r>
    </w:p>
    <w:p>
      <w:pPr>
        <w:pStyle w:val="ListParagraph"/>
        <w:numPr>
          <w:ilvl w:val="0"/>
          <w:numId w:val="2"/>
        </w:numPr>
        <w:spacing w:before="60" w:after="60"/>
      </w:pPr>
      <w:r>
        <w:rPr>
          <w:rFonts w:ascii="Arial" w:cs="Arial" w:eastAsia="Arial" w:hAnsi="Arial"/>
          <w:color w:val="1A1A1A"/>
          <w:sz w:val="22"/>
          <w:szCs w:val="22"/>
        </w:rPr>
        <w:t xml:space="preserve">Risk Tier Overview: Donut chart of patient distribution across four tiers, with click-through to patient list</w:t>
      </w:r>
    </w:p>
    <w:p>
      <w:pPr>
        <w:pStyle w:val="ListParagraph"/>
        <w:numPr>
          <w:ilvl w:val="0"/>
          <w:numId w:val="2"/>
        </w:numPr>
        <w:spacing w:before="60" w:after="60"/>
      </w:pPr>
      <w:r>
        <w:rPr>
          <w:rFonts w:ascii="Arial" w:cs="Arial" w:eastAsia="Arial" w:hAnsi="Arial"/>
          <w:color w:val="1A1A1A"/>
          <w:sz w:val="22"/>
          <w:szCs w:val="22"/>
        </w:rPr>
        <w:t xml:space="preserve">Readmission Rate by Age Group: Bar chart filterable by gender, A1C result, insulin status</w:t>
      </w:r>
    </w:p>
    <w:p>
      <w:pPr>
        <w:pStyle w:val="ListParagraph"/>
        <w:numPr>
          <w:ilvl w:val="0"/>
          <w:numId w:val="2"/>
        </w:numPr>
        <w:spacing w:before="60" w:after="60"/>
      </w:pPr>
      <w:r>
        <w:rPr>
          <w:rFonts w:ascii="Arial" w:cs="Arial" w:eastAsia="Arial" w:hAnsi="Arial"/>
          <w:color w:val="1A1A1A"/>
          <w:sz w:val="22"/>
          <w:szCs w:val="22"/>
        </w:rPr>
        <w:t xml:space="preserve">Utilization Heatmap: Prior inpatient stays × emergency visits → readmission % heat grid</w:t>
      </w:r>
    </w:p>
    <w:p>
      <w:pPr>
        <w:pStyle w:val="ListParagraph"/>
        <w:numPr>
          <w:ilvl w:val="0"/>
          <w:numId w:val="2"/>
        </w:numPr>
        <w:spacing w:before="60" w:after="60"/>
      </w:pPr>
      <w:r>
        <w:rPr>
          <w:rFonts w:ascii="Arial" w:cs="Arial" w:eastAsia="Arial" w:hAnsi="Arial"/>
          <w:color w:val="1A1A1A"/>
          <w:sz w:val="22"/>
          <w:szCs w:val="22"/>
        </w:rPr>
        <w:t xml:space="preserve">Length of Stay Trend Line: Readmission rate by days in hospital with average benchmark line</w:t>
      </w:r>
    </w:p>
    <w:p>
      <w:pPr>
        <w:pStyle w:val="ListParagraph"/>
        <w:numPr>
          <w:ilvl w:val="0"/>
          <w:numId w:val="2"/>
        </w:numPr>
        <w:spacing w:before="60" w:after="60"/>
      </w:pPr>
      <w:r>
        <w:rPr>
          <w:rFonts w:ascii="Arial" w:cs="Arial" w:eastAsia="Arial" w:hAnsi="Arial"/>
          <w:color w:val="1A1A1A"/>
          <w:sz w:val="22"/>
          <w:szCs w:val="22"/>
        </w:rPr>
        <w:t xml:space="preserve">High-Risk Patient Table: Critical + High tier patients sorted by risk score for care manager outreach</w:t>
      </w:r>
    </w:p>
    <w:p>
      <w:r>
        <w:t xml:space="preserve"/>
      </w:r>
    </w:p>
    <w:p>
      <w:pPr>
        <w:pStyle w:val="Heading2"/>
        <w:spacing w:before="240" w:after="100"/>
      </w:pPr>
      <w:r>
        <w:rPr>
          <w:rFonts w:ascii="Arial" w:cs="Arial" w:eastAsia="Arial" w:hAnsi="Arial"/>
          <w:b/>
          <w:bCs/>
          <w:color w:val="1A7A6E"/>
          <w:sz w:val="26"/>
          <w:szCs w:val="26"/>
        </w:rPr>
        <w:t xml:space="preserve">6.2 Connecting Data</w:t>
      </w:r>
    </w:p>
    <w:p>
      <w:pPr>
        <w:spacing w:before="80" w:after="120"/>
      </w:pPr>
      <w:r>
        <w:rPr>
          <w:rFonts w:ascii="Arial" w:cs="Arial" w:eastAsia="Arial" w:hAnsi="Arial"/>
          <w:color w:val="1A1A1A"/>
          <w:sz w:val="22"/>
          <w:szCs w:val="22"/>
        </w:rPr>
        <w:t xml:space="preserve">In Tableau: Data &gt; Connect to Text File &gt; scored_patients.csv. In Power BI: Get Data &gt; Text/CSV &gt; scored_patients.csv. Both tools will auto-detect the risk_tier column for filtering and the risk_score column for sorting. No additional data transformation is required.</w:t>
      </w:r>
    </w:p>
    <w:p>
      <w:r>
        <w:t xml:space="preserve"/>
      </w:r>
    </w:p>
    <w:p>
      <w:r>
        <w:br w:type="page"/>
      </w:r>
    </w:p>
    <w:p>
      <w:pPr>
        <w:pStyle w:val="Heading1"/>
        <w:pBdr>
          <w:bottom w:val="single" w:color="1B4F8A" w:sz="4" w:space="6"/>
        </w:pBdr>
        <w:spacing w:before="360" w:after="160"/>
      </w:pPr>
      <w:r>
        <w:rPr>
          <w:rFonts w:ascii="Arial" w:cs="Arial" w:eastAsia="Arial" w:hAnsi="Arial"/>
          <w:b/>
          <w:bCs/>
          <w:color w:val="1B4F8A"/>
          <w:sz w:val="32"/>
          <w:szCs w:val="32"/>
        </w:rPr>
        <w:t xml:space="preserve">7. Recommendations</w:t>
      </w:r>
    </w:p>
    <w:p>
      <w:pPr>
        <w:pStyle w:val="Heading2"/>
        <w:spacing w:before="240" w:after="100"/>
      </w:pPr>
      <w:r>
        <w:rPr>
          <w:rFonts w:ascii="Arial" w:cs="Arial" w:eastAsia="Arial" w:hAnsi="Arial"/>
          <w:b/>
          <w:bCs/>
          <w:color w:val="1A7A6E"/>
          <w:sz w:val="26"/>
          <w:szCs w:val="26"/>
        </w:rPr>
        <w:t xml:space="preserve">7.1 Clinical Interventions</w:t>
      </w:r>
    </w:p>
    <w:p>
      <w:pPr>
        <w:pStyle w:val="ListParagraph"/>
        <w:numPr>
          <w:ilvl w:val="0"/>
          <w:numId w:val="2"/>
        </w:numPr>
        <w:spacing w:before="60" w:after="60"/>
      </w:pPr>
      <w:r>
        <w:rPr>
          <w:rFonts w:ascii="Arial" w:cs="Arial" w:eastAsia="Arial" w:hAnsi="Arial"/>
          <w:color w:val="1A1A1A"/>
          <w:sz w:val="22"/>
          <w:szCs w:val="22"/>
        </w:rPr>
        <w:t xml:space="preserve">Mandate discharge planning review for all patients with 2+ prior inpatient stays — this single rule captures the majority of Critical-tier patients</w:t>
      </w:r>
    </w:p>
    <w:p>
      <w:pPr>
        <w:pStyle w:val="ListParagraph"/>
        <w:numPr>
          <w:ilvl w:val="0"/>
          <w:numId w:val="2"/>
        </w:numPr>
        <w:spacing w:before="60" w:after="60"/>
      </w:pPr>
      <w:r>
        <w:rPr>
          <w:rFonts w:ascii="Arial" w:cs="Arial" w:eastAsia="Arial" w:hAnsi="Arial"/>
          <w:color w:val="1A1A1A"/>
          <w:sz w:val="22"/>
          <w:szCs w:val="22"/>
        </w:rPr>
        <w:t xml:space="preserve">Standardise A1C testing at admission for all diabetic encounters — the current 72% untested rate represents a major gap in clinical intelligence</w:t>
      </w:r>
    </w:p>
    <w:p>
      <w:pPr>
        <w:pStyle w:val="ListParagraph"/>
        <w:numPr>
          <w:ilvl w:val="0"/>
          <w:numId w:val="2"/>
        </w:numPr>
        <w:spacing w:before="60" w:after="60"/>
      </w:pPr>
      <w:r>
        <w:rPr>
          <w:rFonts w:ascii="Arial" w:cs="Arial" w:eastAsia="Arial" w:hAnsi="Arial"/>
          <w:color w:val="1A1A1A"/>
          <w:sz w:val="22"/>
          <w:szCs w:val="22"/>
        </w:rPr>
        <w:t xml:space="preserve">Assign dedicated care coordinators to Critical-tier patients (top ~2%) before discharge</w:t>
      </w:r>
    </w:p>
    <w:p>
      <w:pPr>
        <w:pStyle w:val="ListParagraph"/>
        <w:numPr>
          <w:ilvl w:val="0"/>
          <w:numId w:val="2"/>
        </w:numPr>
        <w:spacing w:before="60" w:after="60"/>
      </w:pPr>
      <w:r>
        <w:rPr>
          <w:rFonts w:ascii="Arial" w:cs="Arial" w:eastAsia="Arial" w:hAnsi="Arial"/>
          <w:color w:val="1A1A1A"/>
          <w:sz w:val="22"/>
          <w:szCs w:val="22"/>
        </w:rPr>
        <w:t xml:space="preserve">Implement structured 48-to-72-hour post-discharge phone calls for High and Critical tiers</w:t>
      </w:r>
    </w:p>
    <w:p>
      <w:pPr>
        <w:pStyle w:val="ListParagraph"/>
        <w:numPr>
          <w:ilvl w:val="0"/>
          <w:numId w:val="2"/>
        </w:numPr>
        <w:spacing w:before="60" w:after="60"/>
      </w:pPr>
      <w:r>
        <w:rPr>
          <w:rFonts w:ascii="Arial" w:cs="Arial" w:eastAsia="Arial" w:hAnsi="Arial"/>
          <w:color w:val="1A1A1A"/>
          <w:sz w:val="22"/>
          <w:szCs w:val="22"/>
        </w:rPr>
        <w:t xml:space="preserve">Review insulin titration protocols for patients with 2+ emergency visits — this combination is associated with the highest readmission rates in the A1C × insulin heatmap</w:t>
      </w:r>
    </w:p>
    <w:p>
      <w:r>
        <w:t xml:space="preserve"/>
      </w:r>
    </w:p>
    <w:p>
      <w:pPr>
        <w:pStyle w:val="Heading2"/>
        <w:spacing w:before="240" w:after="100"/>
      </w:pPr>
      <w:r>
        <w:rPr>
          <w:rFonts w:ascii="Arial" w:cs="Arial" w:eastAsia="Arial" w:hAnsi="Arial"/>
          <w:b/>
          <w:bCs/>
          <w:color w:val="1A7A6E"/>
          <w:sz w:val="26"/>
          <w:szCs w:val="26"/>
        </w:rPr>
        <w:t xml:space="preserve">7.2 Operational &amp; Technical</w:t>
      </w:r>
    </w:p>
    <w:p>
      <w:pPr>
        <w:pStyle w:val="ListParagraph"/>
        <w:numPr>
          <w:ilvl w:val="0"/>
          <w:numId w:val="2"/>
        </w:numPr>
        <w:spacing w:before="60" w:after="60"/>
      </w:pPr>
      <w:r>
        <w:rPr>
          <w:rFonts w:ascii="Arial" w:cs="Arial" w:eastAsia="Arial" w:hAnsi="Arial"/>
          <w:color w:val="1A1A1A"/>
          <w:sz w:val="22"/>
          <w:szCs w:val="22"/>
        </w:rPr>
        <w:t xml:space="preserve">Embed the risk score SQL query in the EHR data warehouse as a nightly refresh, surfacing scores at the point of discharge order</w:t>
      </w:r>
    </w:p>
    <w:p>
      <w:pPr>
        <w:pStyle w:val="ListParagraph"/>
        <w:numPr>
          <w:ilvl w:val="0"/>
          <w:numId w:val="2"/>
        </w:numPr>
        <w:spacing w:before="60" w:after="60"/>
      </w:pPr>
      <w:r>
        <w:rPr>
          <w:rFonts w:ascii="Arial" w:cs="Arial" w:eastAsia="Arial" w:hAnsi="Arial"/>
          <w:color w:val="1A1A1A"/>
          <w:sz w:val="22"/>
          <w:szCs w:val="22"/>
        </w:rPr>
        <w:t xml:space="preserve">Connect scored_patients.csv output to the Tableau / Power BI dashboard for daily care team review</w:t>
      </w:r>
    </w:p>
    <w:p>
      <w:pPr>
        <w:pStyle w:val="ListParagraph"/>
        <w:numPr>
          <w:ilvl w:val="0"/>
          <w:numId w:val="2"/>
        </w:numPr>
        <w:spacing w:before="60" w:after="60"/>
      </w:pPr>
      <w:r>
        <w:rPr>
          <w:rFonts w:ascii="Arial" w:cs="Arial" w:eastAsia="Arial" w:hAnsi="Arial"/>
          <w:color w:val="1A1A1A"/>
          <w:sz w:val="22"/>
          <w:szCs w:val="22"/>
        </w:rPr>
        <w:t xml:space="preserve">Track intervention completion rates per risk tier to measure effectiveness quarterly</w:t>
      </w:r>
    </w:p>
    <w:p>
      <w:pPr>
        <w:pStyle w:val="ListParagraph"/>
        <w:numPr>
          <w:ilvl w:val="0"/>
          <w:numId w:val="2"/>
        </w:numPr>
        <w:spacing w:before="60" w:after="60"/>
      </w:pPr>
      <w:r>
        <w:rPr>
          <w:rFonts w:ascii="Arial" w:cs="Arial" w:eastAsia="Arial" w:hAnsi="Arial"/>
          <w:color w:val="1A1A1A"/>
          <w:sz w:val="22"/>
          <w:szCs w:val="22"/>
        </w:rPr>
        <w:t xml:space="preserve">Re-validate score thresholds annually as patient population demographics shift</w:t>
      </w:r>
    </w:p>
    <w:p>
      <w:r>
        <w:t xml:space="preserve"/>
      </w:r>
    </w:p>
    <w:p>
      <w:pPr>
        <w:pStyle w:val="Heading2"/>
        <w:spacing w:before="240" w:after="100"/>
      </w:pPr>
      <w:r>
        <w:rPr>
          <w:rFonts w:ascii="Arial" w:cs="Arial" w:eastAsia="Arial" w:hAnsi="Arial"/>
          <w:b/>
          <w:bCs/>
          <w:color w:val="1A7A6E"/>
          <w:sz w:val="26"/>
          <w:szCs w:val="26"/>
        </w:rPr>
        <w:t xml:space="preserve">7.3 Estimated Impact</w:t>
      </w:r>
    </w:p>
    <w:p>
      <w:pPr>
        <w:spacing w:before="80" w:after="120"/>
      </w:pPr>
      <w:r>
        <w:rPr>
          <w:rFonts w:ascii="Arial" w:cs="Arial" w:eastAsia="Arial" w:hAnsi="Arial"/>
          <w:color w:val="1A1A1A"/>
          <w:sz w:val="22"/>
          <w:szCs w:val="22"/>
        </w:rPr>
        <w:t xml:space="preserve">Based on a conservative 15% reduction in readmissions for Critical and High-tier patients who receive structured intervention, and an average avoidable readmission cost of $15,000, a 500-bed hospital processing 20,000 annual discharges could avoid approximately 330 readmissions per year — generating roughly $4.95M in avoided costs and reduced CMS HRRP penalties.</w:t>
      </w:r>
    </w:p>
    <w:p>
      <w:r>
        <w:t xml:space="preserve"/>
      </w:r>
    </w:p>
    <w:p>
      <w:pPr>
        <w:pStyle w:val="Heading1"/>
        <w:pBdr>
          <w:bottom w:val="single" w:color="1B4F8A" w:sz="4" w:space="6"/>
        </w:pBdr>
        <w:spacing w:before="360" w:after="160"/>
      </w:pPr>
      <w:r>
        <w:rPr>
          <w:rFonts w:ascii="Arial" w:cs="Arial" w:eastAsia="Arial" w:hAnsi="Arial"/>
          <w:b/>
          <w:bCs/>
          <w:color w:val="1B4F8A"/>
          <w:sz w:val="32"/>
          <w:szCs w:val="32"/>
        </w:rPr>
        <w:t xml:space="preserve">8. Conclusion</w:t>
      </w:r>
    </w:p>
    <w:p>
      <w:pPr>
        <w:spacing w:before="80" w:after="120"/>
      </w:pPr>
      <w:r>
        <w:rPr>
          <w:rFonts w:ascii="Arial" w:cs="Arial" w:eastAsia="Arial" w:hAnsi="Arial"/>
          <w:color w:val="1A1A1A"/>
          <w:sz w:val="22"/>
          <w:szCs w:val="22"/>
        </w:rPr>
        <w:t xml:space="preserve">This project demonstrates that meaningful, actionable insight about patient readmission risk does not require machine learning. A rigorous combination of SQL-based cohort analysis, descriptive statistics, significance testing, and a transparent rule-based scoring system produces findings that are compelling, explainable, and — critically — understandable to the clinical teams who will act on them.</w:t>
      </w:r>
    </w:p>
    <w:p>
      <w:r>
        <w:t xml:space="preserve"/>
      </w:r>
    </w:p>
    <w:p>
      <w:pPr>
        <w:spacing w:before="80" w:after="120"/>
      </w:pPr>
      <w:r>
        <w:rPr>
          <w:rFonts w:ascii="Arial" w:cs="Arial" w:eastAsia="Arial" w:hAnsi="Arial"/>
          <w:color w:val="1A1A1A"/>
          <w:sz w:val="22"/>
          <w:szCs w:val="22"/>
        </w:rPr>
        <w:t xml:space="preserve">The key finding is both simple and powerful: prior utilization history is overwhelmingly the strongest signal. A patient who has been admitted to hospital three times in the past year is not similar to a first-time patient, regardless of what other clinical factors are present. Structuring discharge planning resources around this insight is the single highest-leverage intervention available.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14"/>
              <w:bottom w:val="single" w:color="CCCCCC" w:sz="1"/>
              <w:right w:val="single" w:color="CCCCCC" w:sz="1"/>
            </w:tcBorders>
            <w:shd w:fill="D6E4F7" w:val="clear"/>
            <w:tcMar>
              <w:top w:type="dxa" w:w="120"/>
              <w:left w:type="dxa" w:w="200"/>
              <w:bottom w:type="dxa" w:w="120"/>
              <w:right w:type="dxa" w:w="120"/>
            </w:tcMar>
          </w:tcPr>
          <w:p>
            <w:r>
              <w:rPr>
                <w:rFonts w:ascii="Arial" w:cs="Arial" w:eastAsia="Arial" w:hAnsi="Arial"/>
                <w:i/>
                <w:iCs/>
                <w:color w:val="1B3A6A"/>
                <w:sz w:val="21"/>
                <w:szCs w:val="21"/>
              </w:rPr>
              <w:t xml:space="preserve">The best analytical approach is the one that gets used. A transparent rule-based score embedded in an EHR workflow will prevent more readmissions than a sophisticated model that clinicians do not trust or understand.</w:t>
            </w:r>
          </w:p>
        </w:tc>
      </w:tr>
    </w:tbl>
    <w:p>
      <w:r>
        <w:t xml:space="preserve"/>
      </w:r>
    </w:p>
    <w:p>
      <w:r>
        <w:t xml:space="preserve"/>
      </w:r>
    </w:p>
    <w:p>
      <w:pPr>
        <w:pStyle w:val="Heading1"/>
        <w:pBdr>
          <w:bottom w:val="single" w:color="1B4F8A" w:sz="4" w:space="6"/>
        </w:pBdr>
        <w:spacing w:before="360" w:after="160"/>
      </w:pPr>
      <w:r>
        <w:rPr>
          <w:rFonts w:ascii="Arial" w:cs="Arial" w:eastAsia="Arial" w:hAnsi="Arial"/>
          <w:b/>
          <w:bCs/>
          <w:color w:val="1B4F8A"/>
          <w:sz w:val="32"/>
          <w:szCs w:val="32"/>
        </w:rPr>
        <w:t xml:space="preserve">References</w:t>
      </w:r>
    </w:p>
    <w:p>
      <w:pPr>
        <w:spacing w:before="80" w:after="120"/>
      </w:pPr>
      <w:r>
        <w:rPr>
          <w:rFonts w:ascii="Arial" w:cs="Arial" w:eastAsia="Arial" w:hAnsi="Arial"/>
          <w:color w:val="1A1A1A"/>
          <w:sz w:val="22"/>
          <w:szCs w:val="22"/>
        </w:rPr>
        <w:t xml:space="preserve">Strack, B. et al. (2014). Impact of HbA1c Measurement on Hospital Readmission Rates: Analysis of 70,000 Clinical Database Patient Records. BioMed Research International.</w:t>
      </w:r>
    </w:p>
    <w:p>
      <w:pPr>
        <w:spacing w:before="80" w:after="120"/>
      </w:pPr>
      <w:r>
        <w:rPr>
          <w:rFonts w:ascii="Arial" w:cs="Arial" w:eastAsia="Arial" w:hAnsi="Arial"/>
          <w:color w:val="1A1A1A"/>
          <w:sz w:val="22"/>
          <w:szCs w:val="22"/>
        </w:rPr>
        <w:t xml:space="preserve">CMS Hospital Readmissions Reduction Program. Centers for Medicare &amp; Medicaid Services. https://www.cms.gov/medicare/quality/initiatives/hospital-quality-initiatives/readmissions-reduction-program</w:t>
      </w:r>
    </w:p>
    <w:p>
      <w:pPr>
        <w:spacing w:before="80" w:after="120"/>
      </w:pPr>
      <w:r>
        <w:rPr>
          <w:rFonts w:ascii="Arial" w:cs="Arial" w:eastAsia="Arial" w:hAnsi="Arial"/>
          <w:color w:val="1A1A1A"/>
          <w:sz w:val="22"/>
          <w:szCs w:val="22"/>
        </w:rPr>
        <w:t xml:space="preserve">UCI Machine Learning Repository. Diabetes 130-US Hospitals for Years 1999–2008. https://archive.ics.uci.edu/dataset/296</w:t>
      </w:r>
    </w:p>
    <w:p>
      <w:pPr>
        <w:spacing w:before="80" w:after="120"/>
      </w:pPr>
      <w:r>
        <w:rPr>
          <w:rFonts w:ascii="Arial" w:cs="Arial" w:eastAsia="Arial" w:hAnsi="Arial"/>
          <w:color w:val="1A1A1A"/>
          <w:sz w:val="22"/>
          <w:szCs w:val="22"/>
        </w:rPr>
        <w:t xml:space="preserve">Wasson, J.H. et al. (2019). Addressing Unnecessary Hospital Readmissions. New England Journal of Medicine Catalyst.</w:t>
      </w:r>
    </w:p>
    <w:p>
      <w:r>
        <w:t xml:space="preserve"/>
      </w:r>
    </w:p>
    <w:p>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tabs>
        <w:tab w:val="right" w:pos="9026"/>
      </w:tabs>
      <w:spacing w:before="120"/>
    </w:pPr>
    <w:r>
      <w:rPr>
        <w:rFonts w:ascii="Arial" w:cs="Arial" w:eastAsia="Arial" w:hAnsi="Arial"/>
        <w:color w:val="666666"/>
        <w:sz w:val="18"/>
        <w:szCs w:val="18"/>
      </w:rPr>
      <w:t xml:space="preserve">Patient Readmission Analysis Report  |  No ML Approach</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4F8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1A7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2026-02-19T08:44:39.924Z</dcterms:created>
  <dcterms:modified xsi:type="dcterms:W3CDTF">2026-02-19T08:44:39.925Z</dcterms:modified>
</cp:coreProperties>
</file>

<file path=docProps/custom.xml><?xml version="1.0" encoding="utf-8"?>
<Properties xmlns="http://schemas.openxmlformats.org/officeDocument/2006/custom-properties" xmlns:vt="http://schemas.openxmlformats.org/officeDocument/2006/docPropsVTypes"/>
</file>